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66" w:rsidRPr="00AE1F53" w:rsidRDefault="00E6000D" w:rsidP="00CB123A">
      <w:pPr>
        <w:spacing w:after="0" w:line="360" w:lineRule="auto"/>
        <w:jc w:val="center"/>
        <w:rPr>
          <w:rFonts w:ascii="Times New Roman" w:hAnsi="Times New Roman"/>
          <w:sz w:val="24"/>
          <w:szCs w:val="24"/>
          <w:lang w:val="en-US"/>
        </w:rPr>
      </w:pPr>
      <w:r w:rsidRPr="00AE1F53">
        <w:rPr>
          <w:rFonts w:ascii="Times New Roman" w:hAnsi="Times New Roman"/>
          <w:b/>
          <w:sz w:val="24"/>
          <w:szCs w:val="24"/>
          <w:lang w:val="en-US"/>
        </w:rPr>
        <w:t>B</w:t>
      </w:r>
      <w:r w:rsidR="006F386C" w:rsidRPr="00AE1F53">
        <w:rPr>
          <w:rFonts w:ascii="Times New Roman" w:hAnsi="Times New Roman"/>
          <w:b/>
          <w:sz w:val="24"/>
          <w:szCs w:val="24"/>
          <w:lang w:val="en-US"/>
        </w:rPr>
        <w:t>AB</w:t>
      </w:r>
      <w:r w:rsidRPr="00AE1F53">
        <w:rPr>
          <w:rFonts w:ascii="Times New Roman" w:hAnsi="Times New Roman"/>
          <w:b/>
          <w:sz w:val="24"/>
          <w:szCs w:val="24"/>
          <w:lang w:val="en-US"/>
        </w:rPr>
        <w:t xml:space="preserve"> II</w:t>
      </w:r>
    </w:p>
    <w:p w:rsidR="006F386C" w:rsidRPr="00AE1F53" w:rsidRDefault="006F386C" w:rsidP="00CB123A">
      <w:pPr>
        <w:spacing w:after="0" w:line="360" w:lineRule="auto"/>
        <w:jc w:val="center"/>
        <w:rPr>
          <w:rFonts w:ascii="Times New Roman" w:hAnsi="Times New Roman"/>
          <w:b/>
          <w:sz w:val="24"/>
          <w:szCs w:val="24"/>
          <w:lang w:val="en-US"/>
        </w:rPr>
      </w:pPr>
      <w:r w:rsidRPr="00AE1F53">
        <w:rPr>
          <w:rFonts w:ascii="Times New Roman" w:hAnsi="Times New Roman"/>
          <w:b/>
          <w:sz w:val="24"/>
          <w:szCs w:val="24"/>
          <w:lang w:val="en-US"/>
        </w:rPr>
        <w:t xml:space="preserve">KONDISI UMUM KEBIJAKAN PEMBANGUNAN </w:t>
      </w:r>
    </w:p>
    <w:p w:rsidR="00306166" w:rsidRPr="00AE1F53" w:rsidRDefault="006F386C" w:rsidP="00CB123A">
      <w:pPr>
        <w:spacing w:after="0" w:line="360" w:lineRule="auto"/>
        <w:jc w:val="center"/>
        <w:rPr>
          <w:rFonts w:ascii="Times New Roman" w:hAnsi="Times New Roman"/>
          <w:b/>
          <w:sz w:val="24"/>
          <w:szCs w:val="24"/>
          <w:lang w:val="en-US"/>
        </w:rPr>
      </w:pPr>
      <w:r w:rsidRPr="00AE1F53">
        <w:rPr>
          <w:rFonts w:ascii="Times New Roman" w:hAnsi="Times New Roman"/>
          <w:b/>
          <w:sz w:val="24"/>
          <w:szCs w:val="24"/>
          <w:lang w:val="en-US"/>
        </w:rPr>
        <w:t>DI KABUPATEN GUNUNGKIDUL</w:t>
      </w:r>
    </w:p>
    <w:p w:rsidR="009969B3" w:rsidRPr="00AE1F53" w:rsidRDefault="009969B3" w:rsidP="00CB123A">
      <w:pPr>
        <w:spacing w:after="0" w:line="360" w:lineRule="auto"/>
        <w:jc w:val="center"/>
        <w:rPr>
          <w:rFonts w:ascii="Times New Roman" w:hAnsi="Times New Roman"/>
          <w:sz w:val="24"/>
          <w:szCs w:val="24"/>
          <w:lang w:val="en-US"/>
        </w:rPr>
      </w:pPr>
    </w:p>
    <w:p w:rsidR="00306166" w:rsidRPr="00AE1F53" w:rsidRDefault="00306166" w:rsidP="00CB123A">
      <w:pPr>
        <w:spacing w:after="0" w:line="360" w:lineRule="auto"/>
        <w:jc w:val="center"/>
        <w:rPr>
          <w:rFonts w:ascii="Times New Roman" w:hAnsi="Times New Roman"/>
          <w:sz w:val="24"/>
          <w:szCs w:val="24"/>
          <w:lang w:val="en-US"/>
        </w:rPr>
      </w:pPr>
    </w:p>
    <w:p w:rsidR="009969B3" w:rsidRPr="00AE1F53" w:rsidRDefault="009969B3" w:rsidP="00CB123A">
      <w:pPr>
        <w:pStyle w:val="BodyTextIndent"/>
        <w:numPr>
          <w:ilvl w:val="0"/>
          <w:numId w:val="13"/>
        </w:numPr>
        <w:spacing w:after="0" w:line="360" w:lineRule="auto"/>
        <w:ind w:left="450"/>
        <w:jc w:val="both"/>
        <w:rPr>
          <w:b/>
        </w:rPr>
      </w:pPr>
      <w:r w:rsidRPr="00AE1F53">
        <w:rPr>
          <w:b/>
        </w:rPr>
        <w:t>Kondisi Umum Kabupaten Gunungkidul</w:t>
      </w:r>
    </w:p>
    <w:p w:rsidR="009969B3" w:rsidRPr="00AE1F53" w:rsidRDefault="00100895" w:rsidP="00CB123A">
      <w:pPr>
        <w:pStyle w:val="BodyTextIndent"/>
        <w:spacing w:after="0" w:line="360" w:lineRule="auto"/>
        <w:ind w:left="0" w:firstLine="450"/>
        <w:jc w:val="both"/>
      </w:pPr>
      <w:r w:rsidRPr="00AE1F53">
        <w:t xml:space="preserve">Kabupaten Gunungkidul bagian dari wilayah </w:t>
      </w:r>
      <w:r w:rsidR="00306166" w:rsidRPr="00AE1F53">
        <w:t xml:space="preserve">Propinsi </w:t>
      </w:r>
      <w:r w:rsidR="009969B3" w:rsidRPr="00AE1F53">
        <w:t xml:space="preserve"> Daerah Istimewa Yogyakarta </w:t>
      </w:r>
      <w:r w:rsidR="00306166" w:rsidRPr="00AE1F53">
        <w:t>(DIY)</w:t>
      </w:r>
      <w:r w:rsidRPr="00AE1F53">
        <w:t>. Propinsi DIY memiliki</w:t>
      </w:r>
      <w:r w:rsidR="009969B3" w:rsidRPr="00AE1F53">
        <w:t xml:space="preserve"> </w:t>
      </w:r>
      <w:r w:rsidR="00306166" w:rsidRPr="00AE1F53">
        <w:t xml:space="preserve">wilayah administratif </w:t>
      </w:r>
      <w:r w:rsidR="009969B3" w:rsidRPr="00AE1F53">
        <w:t>empat kabupaten dan satu kotamadya</w:t>
      </w:r>
      <w:r w:rsidRPr="00AE1F53">
        <w:t>.</w:t>
      </w:r>
      <w:r w:rsidR="009969B3" w:rsidRPr="00AE1F53">
        <w:t xml:space="preserve"> </w:t>
      </w:r>
      <w:r w:rsidR="005540C8" w:rsidRPr="00AE1F53">
        <w:rPr>
          <w:lang w:val="id-ID"/>
        </w:rPr>
        <w:t xml:space="preserve">Kabupaten Gunungkidul </w:t>
      </w:r>
      <w:r w:rsidR="009969B3" w:rsidRPr="00AE1F53">
        <w:t xml:space="preserve"> </w:t>
      </w:r>
      <w:r w:rsidR="005540C8" w:rsidRPr="00AE1F53">
        <w:rPr>
          <w:lang w:val="id-ID"/>
        </w:rPr>
        <w:t>dengan</w:t>
      </w:r>
      <w:r w:rsidR="005540C8" w:rsidRPr="00AE1F53">
        <w:t xml:space="preserve"> </w:t>
      </w:r>
      <w:r w:rsidR="005540C8" w:rsidRPr="00AE1F53">
        <w:rPr>
          <w:lang w:val="id-ID"/>
        </w:rPr>
        <w:t xml:space="preserve"> Ibu </w:t>
      </w:r>
      <w:r w:rsidR="005540C8" w:rsidRPr="00AE1F53">
        <w:t xml:space="preserve"> </w:t>
      </w:r>
      <w:r w:rsidR="005540C8" w:rsidRPr="00AE1F53">
        <w:rPr>
          <w:lang w:val="id-ID"/>
        </w:rPr>
        <w:t>Kota</w:t>
      </w:r>
      <w:r w:rsidR="005540C8" w:rsidRPr="00AE1F53">
        <w:t xml:space="preserve"> </w:t>
      </w:r>
      <w:r w:rsidRPr="00AE1F53">
        <w:rPr>
          <w:lang w:val="id-ID"/>
        </w:rPr>
        <w:t xml:space="preserve"> Wonosari </w:t>
      </w:r>
      <w:r w:rsidRPr="00AE1F53">
        <w:t>posisinya terletak</w:t>
      </w:r>
      <w:r w:rsidR="005540C8" w:rsidRPr="00AE1F53">
        <w:rPr>
          <w:lang w:val="id-ID"/>
        </w:rPr>
        <w:t xml:space="preserve"> </w:t>
      </w:r>
      <w:r w:rsidR="005540C8" w:rsidRPr="00AE1F53">
        <w:t xml:space="preserve"> </w:t>
      </w:r>
      <w:r w:rsidR="005540C8" w:rsidRPr="00AE1F53">
        <w:rPr>
          <w:lang w:val="id-ID"/>
        </w:rPr>
        <w:t xml:space="preserve"> 39</w:t>
      </w:r>
      <w:r w:rsidR="005540C8" w:rsidRPr="00AE1F53">
        <w:t xml:space="preserve"> </w:t>
      </w:r>
      <w:r w:rsidR="005540C8" w:rsidRPr="00AE1F53">
        <w:rPr>
          <w:lang w:val="id-ID"/>
        </w:rPr>
        <w:t xml:space="preserve">km </w:t>
      </w:r>
      <w:r w:rsidR="00306166" w:rsidRPr="00AE1F53">
        <w:t xml:space="preserve">dari </w:t>
      </w:r>
      <w:r w:rsidR="005540C8" w:rsidRPr="00AE1F53">
        <w:rPr>
          <w:lang w:val="id-ID"/>
        </w:rPr>
        <w:t xml:space="preserve">sebelah tenggara Kota Yogyakarta. Kabupaten Gunungkidul </w:t>
      </w:r>
      <w:r w:rsidR="00306166" w:rsidRPr="00AE1F53">
        <w:t xml:space="preserve">secara geografis </w:t>
      </w:r>
      <w:r w:rsidR="005540C8" w:rsidRPr="00AE1F53">
        <w:rPr>
          <w:lang w:val="id-ID"/>
        </w:rPr>
        <w:t>berada pada 7</w:t>
      </w:r>
      <w:r w:rsidR="005540C8" w:rsidRPr="00AE1F53">
        <w:rPr>
          <w:lang w:val="id-ID"/>
        </w:rPr>
        <w:sym w:font="Symbol" w:char="F0B0"/>
      </w:r>
      <w:r w:rsidR="005540C8" w:rsidRPr="00AE1F53">
        <w:rPr>
          <w:lang w:val="id-ID"/>
        </w:rPr>
        <w:t>46</w:t>
      </w:r>
      <w:r w:rsidR="005540C8" w:rsidRPr="00AE1F53">
        <w:rPr>
          <w:lang w:val="id-ID"/>
        </w:rPr>
        <w:sym w:font="Symbol" w:char="F0A2"/>
      </w:r>
      <w:r w:rsidR="005540C8" w:rsidRPr="00AE1F53">
        <w:rPr>
          <w:lang w:val="id-ID"/>
        </w:rPr>
        <w:t xml:space="preserve"> LS-8</w:t>
      </w:r>
      <w:r w:rsidR="005540C8" w:rsidRPr="00AE1F53">
        <w:rPr>
          <w:lang w:val="id-ID"/>
        </w:rPr>
        <w:sym w:font="Symbol" w:char="F0B0"/>
      </w:r>
      <w:r w:rsidR="005540C8" w:rsidRPr="00AE1F53">
        <w:rPr>
          <w:lang w:val="id-ID"/>
        </w:rPr>
        <w:t>09</w:t>
      </w:r>
      <w:r w:rsidR="005540C8" w:rsidRPr="00AE1F53">
        <w:rPr>
          <w:lang w:val="id-ID"/>
        </w:rPr>
        <w:sym w:font="Symbol" w:char="F0A2"/>
      </w:r>
      <w:r w:rsidR="005540C8" w:rsidRPr="00AE1F53">
        <w:rPr>
          <w:lang w:val="id-ID"/>
        </w:rPr>
        <w:t xml:space="preserve"> LS dan 110</w:t>
      </w:r>
      <w:r w:rsidR="005540C8" w:rsidRPr="00AE1F53">
        <w:rPr>
          <w:lang w:val="id-ID"/>
        </w:rPr>
        <w:sym w:font="Symbol" w:char="F0B0"/>
      </w:r>
      <w:r w:rsidR="005540C8" w:rsidRPr="00AE1F53">
        <w:rPr>
          <w:lang w:val="id-ID"/>
        </w:rPr>
        <w:t>21</w:t>
      </w:r>
      <w:r w:rsidR="005540C8" w:rsidRPr="00AE1F53">
        <w:rPr>
          <w:lang w:val="id-ID"/>
        </w:rPr>
        <w:sym w:font="Symbol" w:char="F0A2"/>
      </w:r>
      <w:r w:rsidR="005540C8" w:rsidRPr="00AE1F53">
        <w:rPr>
          <w:lang w:val="id-ID"/>
        </w:rPr>
        <w:t xml:space="preserve"> BT-110</w:t>
      </w:r>
      <w:r w:rsidR="005540C8" w:rsidRPr="00AE1F53">
        <w:rPr>
          <w:lang w:val="id-ID"/>
        </w:rPr>
        <w:sym w:font="Symbol" w:char="F0B0"/>
      </w:r>
      <w:r w:rsidR="005540C8" w:rsidRPr="00AE1F53">
        <w:rPr>
          <w:lang w:val="id-ID"/>
        </w:rPr>
        <w:t>50</w:t>
      </w:r>
      <w:r w:rsidR="005540C8" w:rsidRPr="00AE1F53">
        <w:rPr>
          <w:lang w:val="id-ID"/>
        </w:rPr>
        <w:sym w:font="Symbol" w:char="F0A2"/>
      </w:r>
      <w:r w:rsidR="005540C8" w:rsidRPr="00AE1F53">
        <w:rPr>
          <w:lang w:val="id-ID"/>
        </w:rPr>
        <w:t xml:space="preserve"> BT, dengan luas wilayah 1.485,36 km</w:t>
      </w:r>
      <w:r w:rsidR="005540C8" w:rsidRPr="00AE1F53">
        <w:rPr>
          <w:vertAlign w:val="superscript"/>
          <w:lang w:val="id-ID"/>
        </w:rPr>
        <w:t>2</w:t>
      </w:r>
      <w:r w:rsidR="005540C8" w:rsidRPr="00AE1F53">
        <w:rPr>
          <w:lang w:val="id-ID"/>
        </w:rPr>
        <w:t xml:space="preserve"> atau sekitar 46,63% dari luas wilayah Provinsi Daerah Istimewa Yogyakarta. </w:t>
      </w:r>
    </w:p>
    <w:p w:rsidR="005540C8" w:rsidRPr="00AE1F53" w:rsidRDefault="005540C8" w:rsidP="00CB123A">
      <w:pPr>
        <w:pStyle w:val="BodyTextIndent"/>
        <w:spacing w:after="0" w:line="360" w:lineRule="auto"/>
        <w:ind w:left="0" w:firstLine="720"/>
        <w:jc w:val="both"/>
      </w:pPr>
      <w:r w:rsidRPr="00AE1F53">
        <w:rPr>
          <w:lang w:val="id-ID"/>
        </w:rPr>
        <w:t>Batas wilayah Kabupaten Gunungkidu</w:t>
      </w:r>
      <w:r w:rsidR="009969B3" w:rsidRPr="00AE1F53">
        <w:rPr>
          <w:lang w:val="id-ID"/>
        </w:rPr>
        <w:t xml:space="preserve">l </w:t>
      </w:r>
      <w:r w:rsidR="00306166" w:rsidRPr="00AE1F53">
        <w:t>berbatasan di s</w:t>
      </w:r>
      <w:r w:rsidRPr="00AE1F53">
        <w:rPr>
          <w:lang w:val="id-ID"/>
        </w:rPr>
        <w:t>ebelah Barat</w:t>
      </w:r>
      <w:r w:rsidR="00306166" w:rsidRPr="00AE1F53">
        <w:t>nya dengan wilayah</w:t>
      </w:r>
      <w:r w:rsidRPr="00AE1F53">
        <w:rPr>
          <w:lang w:val="id-ID"/>
        </w:rPr>
        <w:t xml:space="preserve"> Kabupaten Sleman dan Kabupaten  Bantul Provinsi Daerah Istimewa Yogyaka</w:t>
      </w:r>
      <w:r w:rsidR="009969B3" w:rsidRPr="00AE1F53">
        <w:rPr>
          <w:lang w:val="id-ID"/>
        </w:rPr>
        <w:t>rta</w:t>
      </w:r>
      <w:r w:rsidR="009969B3" w:rsidRPr="00AE1F53">
        <w:t xml:space="preserve">. </w:t>
      </w:r>
      <w:r w:rsidRPr="00AE1F53">
        <w:rPr>
          <w:lang w:val="id-ID"/>
        </w:rPr>
        <w:t>Sebelah Utara berbatasan dengan Kabupaten Klaten dan Kabupaten Sukoharjo Provinsi Jawa Tengah.</w:t>
      </w:r>
      <w:r w:rsidR="009969B3" w:rsidRPr="00AE1F53">
        <w:t xml:space="preserve"> </w:t>
      </w:r>
      <w:r w:rsidR="00306166" w:rsidRPr="00AE1F53">
        <w:t>Adapun di s</w:t>
      </w:r>
      <w:r w:rsidRPr="00AE1F53">
        <w:rPr>
          <w:lang w:val="id-ID"/>
        </w:rPr>
        <w:t>ebelah Timur</w:t>
      </w:r>
      <w:r w:rsidR="00306166" w:rsidRPr="00AE1F53">
        <w:t xml:space="preserve">nya </w:t>
      </w:r>
      <w:r w:rsidRPr="00AE1F53">
        <w:rPr>
          <w:lang w:val="id-ID"/>
        </w:rPr>
        <w:t xml:space="preserve"> berbatasan dengan Kabupaten Wonogiri Provinsi Jawa Tengah.</w:t>
      </w:r>
      <w:r w:rsidR="009969B3" w:rsidRPr="00AE1F53">
        <w:t xml:space="preserve"> </w:t>
      </w:r>
      <w:r w:rsidR="00306166" w:rsidRPr="00AE1F53">
        <w:t>Sedangkan di s</w:t>
      </w:r>
      <w:r w:rsidRPr="00AE1F53">
        <w:rPr>
          <w:lang w:val="id-ID"/>
        </w:rPr>
        <w:t xml:space="preserve">ebelah Selatan berbatasan dengan Samudera </w:t>
      </w:r>
      <w:r w:rsidRPr="00AE1F53">
        <w:t>Hindia</w:t>
      </w:r>
      <w:r w:rsidR="00306166" w:rsidRPr="00AE1F53">
        <w:t xml:space="preserve">, </w:t>
      </w:r>
      <w:r w:rsidRPr="00AE1F53">
        <w:t xml:space="preserve"> berupa perairan pesisir sejauh lebih dari 4 (empat) mil</w:t>
      </w:r>
      <w:r w:rsidRPr="00AE1F53">
        <w:rPr>
          <w:lang w:val="id-ID"/>
        </w:rPr>
        <w:t>.</w:t>
      </w:r>
      <w:r w:rsidR="009969B3" w:rsidRPr="00AE1F53">
        <w:t xml:space="preserve"> </w:t>
      </w:r>
      <w:r w:rsidRPr="00AE1F53">
        <w:t xml:space="preserve">Wilayah perairan pesisir Kabupaten Gunungkidul meliputi laut yang berbatasan dengan daratan berupa perairan sejauh hingga batas 4 (empat) mil dari garis pasang tertinggi. </w:t>
      </w:r>
    </w:p>
    <w:p w:rsidR="00306166" w:rsidRPr="00AE1F53" w:rsidRDefault="005540C8" w:rsidP="00CB123A">
      <w:pPr>
        <w:pStyle w:val="ListParagraph"/>
        <w:spacing w:after="0" w:line="360" w:lineRule="auto"/>
        <w:ind w:left="0" w:firstLine="720"/>
        <w:jc w:val="both"/>
        <w:rPr>
          <w:rFonts w:ascii="Times New Roman" w:hAnsi="Times New Roman"/>
          <w:sz w:val="24"/>
          <w:szCs w:val="24"/>
          <w:lang w:val="en-US"/>
        </w:rPr>
      </w:pPr>
      <w:r w:rsidRPr="00AE1F53">
        <w:rPr>
          <w:rFonts w:ascii="Times New Roman" w:hAnsi="Times New Roman"/>
          <w:bCs/>
          <w:sz w:val="24"/>
          <w:szCs w:val="24"/>
          <w:lang w:eastAsia="id-ID"/>
        </w:rPr>
        <w:t>Berdasarkan</w:t>
      </w:r>
      <w:r w:rsidRPr="00AE1F53">
        <w:rPr>
          <w:rFonts w:ascii="Times New Roman" w:hAnsi="Times New Roman"/>
          <w:sz w:val="24"/>
          <w:szCs w:val="24"/>
        </w:rPr>
        <w:t xml:space="preserve"> kondisi topografi Kabupaten Gunungkidul dibagi menjadi 3 (tiga) zona pengembangan, yaitu : Zona Utara disebut wilayah Batur Agung dengan ketinggian 200m - 700m di atas permukaan laut. Keadaannya berbukit-bukit  terdapat sumber-sumber air tanah kedalaman 6m – 12m dari permukaan tanah. Jenis tanah didominasi latosol dengan batuan induk vulkanik dan sedimen </w:t>
      </w:r>
      <w:r w:rsidRPr="00AE1F53">
        <w:rPr>
          <w:rFonts w:ascii="Times New Roman" w:hAnsi="Times New Roman"/>
          <w:sz w:val="24"/>
          <w:szCs w:val="24"/>
        </w:rPr>
        <w:lastRenderedPageBreak/>
        <w:t>taufan. Wilayah  ini meliputi Kecamatan Patuk, Gedangsari, Nglipar, Ngawen, Semin, dan Ponjong bagian utara.</w:t>
      </w:r>
    </w:p>
    <w:p w:rsidR="00306166" w:rsidRPr="00AE1F53" w:rsidRDefault="005540C8" w:rsidP="00CB123A">
      <w:pPr>
        <w:pStyle w:val="ListParagraph"/>
        <w:spacing w:after="0" w:line="360" w:lineRule="auto"/>
        <w:ind w:left="0" w:firstLine="720"/>
        <w:jc w:val="both"/>
        <w:rPr>
          <w:rFonts w:ascii="Times New Roman" w:hAnsi="Times New Roman"/>
          <w:sz w:val="24"/>
          <w:szCs w:val="24"/>
          <w:lang w:val="en-US"/>
        </w:rPr>
      </w:pPr>
      <w:r w:rsidRPr="00AE1F53">
        <w:rPr>
          <w:rFonts w:ascii="Times New Roman" w:hAnsi="Times New Roman"/>
          <w:sz w:val="24"/>
          <w:szCs w:val="24"/>
        </w:rPr>
        <w:t>Zona Tengah disebut wilayah pengembangan Ledok Wonosari, dengan ketinggian 150m – 200m di atas permukaan laut. Jenis tanah didominasi oleh asosiasi  mediteran merah dan  grumosol hitam dengan bahan induk batu kapur. Sehingga  meskipun  musim  kemarau  panjang, partikel-partikel air masih mampu bertahan. Terdapat sungai di atas tanah, tetapi di musim kemarau kering. Kedalaman air tanah berkisar antara 60m – 120m di bawah permukaan tanah. Wilayah ini meliputi Kecamatan Playen, Wonosari, Karangmojo, Ponjong bagian tengah, dan Semanu bagian utara.</w:t>
      </w:r>
      <w:r w:rsidR="00306166" w:rsidRPr="00AE1F53">
        <w:rPr>
          <w:rFonts w:ascii="Times New Roman" w:hAnsi="Times New Roman"/>
          <w:sz w:val="24"/>
          <w:szCs w:val="24"/>
          <w:lang w:val="en-US"/>
        </w:rPr>
        <w:t xml:space="preserve"> </w:t>
      </w:r>
    </w:p>
    <w:p w:rsidR="005540C8" w:rsidRPr="00AE1F53" w:rsidRDefault="005540C8" w:rsidP="00CB123A">
      <w:pPr>
        <w:pStyle w:val="ListParagraph"/>
        <w:spacing w:after="0" w:line="360" w:lineRule="auto"/>
        <w:ind w:left="0" w:firstLine="720"/>
        <w:jc w:val="both"/>
        <w:rPr>
          <w:rFonts w:ascii="Times New Roman" w:hAnsi="Times New Roman"/>
          <w:sz w:val="24"/>
          <w:szCs w:val="24"/>
        </w:rPr>
      </w:pPr>
      <w:r w:rsidRPr="00AE1F53">
        <w:rPr>
          <w:rFonts w:ascii="Times New Roman" w:hAnsi="Times New Roman"/>
          <w:sz w:val="24"/>
          <w:szCs w:val="24"/>
        </w:rPr>
        <w:t>Zona Selatan disebut wilayah pengembangan Gunung Seribu (</w:t>
      </w:r>
      <w:r w:rsidRPr="00AE1F53">
        <w:rPr>
          <w:rFonts w:ascii="Times New Roman" w:hAnsi="Times New Roman"/>
          <w:i/>
          <w:iCs/>
          <w:sz w:val="24"/>
          <w:szCs w:val="24"/>
        </w:rPr>
        <w:t>Duizon gebergton</w:t>
      </w:r>
      <w:r w:rsidRPr="00AE1F53">
        <w:rPr>
          <w:rFonts w:ascii="Times New Roman" w:hAnsi="Times New Roman"/>
          <w:sz w:val="24"/>
          <w:szCs w:val="24"/>
        </w:rPr>
        <w:t xml:space="preserve"> atau </w:t>
      </w:r>
      <w:r w:rsidRPr="00AE1F53">
        <w:rPr>
          <w:rFonts w:ascii="Times New Roman" w:hAnsi="Times New Roman"/>
          <w:i/>
          <w:iCs/>
          <w:sz w:val="24"/>
          <w:szCs w:val="24"/>
        </w:rPr>
        <w:t>Zuider gebergton</w:t>
      </w:r>
      <w:r w:rsidRPr="00AE1F53">
        <w:rPr>
          <w:rFonts w:ascii="Times New Roman" w:hAnsi="Times New Roman"/>
          <w:sz w:val="24"/>
          <w:szCs w:val="24"/>
        </w:rPr>
        <w:t xml:space="preserve">), dengan ketinggian 0m – 300m di atas permukaan laut. Batuan dasar pembentuknya adalah batu kapur dengan ciri khas bukit-bukit kerucut </w:t>
      </w:r>
      <w:r w:rsidRPr="00AE1F53">
        <w:rPr>
          <w:rFonts w:ascii="Times New Roman" w:hAnsi="Times New Roman"/>
          <w:i/>
          <w:iCs/>
          <w:sz w:val="24"/>
          <w:szCs w:val="24"/>
        </w:rPr>
        <w:t>(Conical limestone)</w:t>
      </w:r>
      <w:r w:rsidRPr="00AE1F53">
        <w:rPr>
          <w:rFonts w:ascii="Times New Roman" w:hAnsi="Times New Roman"/>
          <w:sz w:val="24"/>
          <w:szCs w:val="24"/>
        </w:rPr>
        <w:t xml:space="preserve"> dan merupakan kawasan karst. Pada wilayah ini banyak dijumpai sungai bawah tanah. Zone Selatan ini meliputi kecamatan Saptosari, Paliyan, Girisubo, Tanjungsari, Tepus, Rongkop, Purwosari, Panggang, Ponjong bagian selatan, dan Semanu bagian selatan.</w:t>
      </w:r>
    </w:p>
    <w:p w:rsidR="005540C8" w:rsidRDefault="00306166" w:rsidP="00CB123A">
      <w:pPr>
        <w:pStyle w:val="BodyTextIndent"/>
        <w:spacing w:after="0" w:line="360" w:lineRule="auto"/>
        <w:ind w:left="0" w:firstLine="720"/>
        <w:jc w:val="both"/>
      </w:pPr>
      <w:r w:rsidRPr="00AE1F53">
        <w:t>J</w:t>
      </w:r>
      <w:r w:rsidR="005540C8" w:rsidRPr="00AE1F53">
        <w:t xml:space="preserve">umlah penduduk </w:t>
      </w:r>
      <w:r w:rsidR="005540C8" w:rsidRPr="00AE1F53">
        <w:rPr>
          <w:bCs/>
          <w:lang w:val="id-ID" w:eastAsia="id-ID"/>
        </w:rPr>
        <w:t>Kabupaten</w:t>
      </w:r>
      <w:r w:rsidR="005540C8" w:rsidRPr="00AE1F53">
        <w:t xml:space="preserve"> Gunungkidul </w:t>
      </w:r>
      <w:r w:rsidR="005540C8" w:rsidRPr="00AE1F53">
        <w:rPr>
          <w:lang w:val="id-ID"/>
        </w:rPr>
        <w:t xml:space="preserve">berdasarkan </w:t>
      </w:r>
      <w:r w:rsidR="005540C8" w:rsidRPr="00AE1F53">
        <w:t xml:space="preserve">hasil perhitungan </w:t>
      </w:r>
      <w:r w:rsidR="005540C8" w:rsidRPr="00AE1F53">
        <w:rPr>
          <w:lang w:val="id-ID"/>
        </w:rPr>
        <w:t xml:space="preserve">sensus penduduk </w:t>
      </w:r>
      <w:r w:rsidR="005540C8" w:rsidRPr="00AE1F53">
        <w:t xml:space="preserve"> 2010 berjumlah 67</w:t>
      </w:r>
      <w:r w:rsidR="005540C8" w:rsidRPr="00AE1F53">
        <w:rPr>
          <w:lang w:val="id-ID"/>
        </w:rPr>
        <w:t>5</w:t>
      </w:r>
      <w:r w:rsidR="005540C8" w:rsidRPr="00AE1F53">
        <w:t>.</w:t>
      </w:r>
      <w:r w:rsidR="005540C8" w:rsidRPr="00AE1F53">
        <w:rPr>
          <w:lang w:val="id-ID"/>
        </w:rPr>
        <w:t>382</w:t>
      </w:r>
      <w:r w:rsidR="005540C8" w:rsidRPr="00AE1F53">
        <w:t xml:space="preserve"> jiwa yang terdiri dari laki-laki sebanyak  326.</w:t>
      </w:r>
      <w:r w:rsidR="005540C8" w:rsidRPr="00AE1F53">
        <w:rPr>
          <w:lang w:val="id-ID"/>
        </w:rPr>
        <w:t>703</w:t>
      </w:r>
      <w:r w:rsidR="005540C8" w:rsidRPr="00AE1F53">
        <w:t xml:space="preserve"> jiwa dan perempuan sebanyak 348.</w:t>
      </w:r>
      <w:r w:rsidR="005540C8" w:rsidRPr="00AE1F53">
        <w:rPr>
          <w:lang w:val="id-ID"/>
        </w:rPr>
        <w:t>679</w:t>
      </w:r>
      <w:r w:rsidR="005540C8" w:rsidRPr="00AE1F53">
        <w:t xml:space="preserve"> jiwa.</w:t>
      </w:r>
      <w:r w:rsidRPr="00AE1F53">
        <w:t xml:space="preserve"> Dengan jumlah sebanyak ini Gunungkidul merupakan salah satu </w:t>
      </w:r>
      <w:r w:rsidRPr="00AE1F53">
        <w:rPr>
          <w:lang w:val="id-ID"/>
        </w:rPr>
        <w:t>k</w:t>
      </w:r>
      <w:r w:rsidRPr="00AE1F53">
        <w:t>abupaten di wilayah DIY den</w:t>
      </w:r>
      <w:r w:rsidR="00BF560D" w:rsidRPr="00AE1F53">
        <w:t>gan jumlah penduduk cukup besar.</w:t>
      </w:r>
      <w:r w:rsidRPr="00AE1F53">
        <w:t xml:space="preserve"> </w:t>
      </w:r>
      <w:r w:rsidR="005540C8" w:rsidRPr="00AE1F53">
        <w:t xml:space="preserve"> </w:t>
      </w:r>
      <w:r w:rsidR="005540C8" w:rsidRPr="00AE1F53">
        <w:rPr>
          <w:lang w:val="id-ID"/>
        </w:rPr>
        <w:t xml:space="preserve">Hasil sensus penduduk </w:t>
      </w:r>
      <w:r w:rsidR="005540C8" w:rsidRPr="00AE1F53">
        <w:t xml:space="preserve">2010 hampir separuh jumlah penduduknya </w:t>
      </w:r>
      <w:r w:rsidR="00BF560D" w:rsidRPr="00AE1F53">
        <w:t xml:space="preserve">tinggal </w:t>
      </w:r>
      <w:r w:rsidR="005540C8" w:rsidRPr="00AE1F53">
        <w:t>di 6 Kecamatan antara lain Wonosari (11,6</w:t>
      </w:r>
      <w:r w:rsidR="005540C8" w:rsidRPr="00AE1F53">
        <w:rPr>
          <w:lang w:val="id-ID"/>
        </w:rPr>
        <w:t>6</w:t>
      </w:r>
      <w:r w:rsidR="005540C8" w:rsidRPr="00AE1F53">
        <w:t>%), Playen (8,0</w:t>
      </w:r>
      <w:r w:rsidR="005540C8" w:rsidRPr="00AE1F53">
        <w:rPr>
          <w:lang w:val="id-ID"/>
        </w:rPr>
        <w:t>7</w:t>
      </w:r>
      <w:r w:rsidR="005540C8" w:rsidRPr="00AE1F53">
        <w:t>%), Semanu (7,66%), Ponjong (7,37 %), Semin  (7,2</w:t>
      </w:r>
      <w:r w:rsidR="005540C8" w:rsidRPr="00AE1F53">
        <w:rPr>
          <w:lang w:val="id-ID"/>
        </w:rPr>
        <w:t>6</w:t>
      </w:r>
      <w:r w:rsidR="005540C8" w:rsidRPr="00AE1F53">
        <w:t xml:space="preserve"> %) dan Karangmojo (7,22%).  </w:t>
      </w:r>
    </w:p>
    <w:p w:rsidR="00AE1F53" w:rsidRDefault="00AE1F53" w:rsidP="00CB123A">
      <w:pPr>
        <w:pStyle w:val="BodyTextIndent"/>
        <w:spacing w:after="0" w:line="360" w:lineRule="auto"/>
        <w:ind w:left="0" w:firstLine="720"/>
        <w:jc w:val="both"/>
      </w:pPr>
    </w:p>
    <w:p w:rsidR="00AE1F53" w:rsidRDefault="00AE1F53" w:rsidP="00CB123A">
      <w:pPr>
        <w:pStyle w:val="BodyTextIndent"/>
        <w:spacing w:after="0" w:line="360" w:lineRule="auto"/>
        <w:ind w:left="0" w:firstLine="720"/>
        <w:jc w:val="both"/>
      </w:pPr>
    </w:p>
    <w:p w:rsidR="00AE1F53" w:rsidRPr="00AE1F53" w:rsidRDefault="00AE1F53" w:rsidP="00CB123A">
      <w:pPr>
        <w:pStyle w:val="BodyTextIndent"/>
        <w:spacing w:after="0" w:line="360" w:lineRule="auto"/>
        <w:ind w:left="0" w:firstLine="720"/>
        <w:jc w:val="both"/>
        <w:rPr>
          <w:b/>
          <w:color w:val="000000"/>
          <w:lang w:val="fi-FI"/>
        </w:rPr>
      </w:pPr>
    </w:p>
    <w:p w:rsidR="005540C8" w:rsidRPr="00AE1F53" w:rsidRDefault="005540C8" w:rsidP="00CB123A">
      <w:pPr>
        <w:spacing w:after="0" w:line="360" w:lineRule="auto"/>
        <w:ind w:firstLine="1134"/>
        <w:jc w:val="center"/>
        <w:rPr>
          <w:rFonts w:ascii="Times New Roman" w:hAnsi="Times New Roman"/>
          <w:i/>
          <w:sz w:val="24"/>
          <w:szCs w:val="24"/>
        </w:rPr>
      </w:pPr>
      <w:r w:rsidRPr="00AE1F53">
        <w:rPr>
          <w:rFonts w:ascii="Times New Roman" w:hAnsi="Times New Roman"/>
          <w:i/>
          <w:sz w:val="24"/>
          <w:szCs w:val="24"/>
        </w:rPr>
        <w:lastRenderedPageBreak/>
        <w:t xml:space="preserve">Tabel </w:t>
      </w:r>
      <w:r w:rsidR="009966A8" w:rsidRPr="00AE1F53">
        <w:rPr>
          <w:rFonts w:ascii="Times New Roman" w:hAnsi="Times New Roman"/>
          <w:i/>
          <w:sz w:val="24"/>
          <w:szCs w:val="24"/>
          <w:lang w:val="en-US"/>
        </w:rPr>
        <w:t>1</w:t>
      </w:r>
      <w:r w:rsidRPr="00AE1F53">
        <w:rPr>
          <w:rFonts w:ascii="Times New Roman" w:hAnsi="Times New Roman"/>
          <w:i/>
          <w:sz w:val="24"/>
          <w:szCs w:val="24"/>
        </w:rPr>
        <w:t>.</w:t>
      </w:r>
    </w:p>
    <w:p w:rsidR="005540C8" w:rsidRPr="00AE1F53" w:rsidRDefault="005540C8" w:rsidP="00CB123A">
      <w:pPr>
        <w:pStyle w:val="ListParagraph"/>
        <w:spacing w:after="0" w:line="360" w:lineRule="auto"/>
        <w:ind w:left="0" w:firstLine="1134"/>
        <w:jc w:val="center"/>
        <w:rPr>
          <w:rFonts w:ascii="Times New Roman" w:hAnsi="Times New Roman"/>
          <w:i/>
          <w:sz w:val="24"/>
          <w:szCs w:val="24"/>
        </w:rPr>
      </w:pPr>
      <w:r w:rsidRPr="00AE1F53">
        <w:rPr>
          <w:rFonts w:ascii="Times New Roman" w:hAnsi="Times New Roman"/>
          <w:i/>
          <w:sz w:val="24"/>
          <w:szCs w:val="24"/>
        </w:rPr>
        <w:t>Jumlah Penduduk Menurut Kecamatan dan Jenis Kelamin</w:t>
      </w:r>
    </w:p>
    <w:p w:rsidR="005540C8" w:rsidRPr="00AE1F53" w:rsidRDefault="005540C8" w:rsidP="00CB123A">
      <w:pPr>
        <w:pStyle w:val="ListParagraph"/>
        <w:spacing w:after="0" w:line="360" w:lineRule="auto"/>
        <w:ind w:left="0" w:firstLine="1134"/>
        <w:jc w:val="center"/>
        <w:rPr>
          <w:rFonts w:ascii="Times New Roman" w:hAnsi="Times New Roman"/>
          <w:i/>
          <w:sz w:val="24"/>
          <w:szCs w:val="24"/>
        </w:rPr>
      </w:pPr>
      <w:r w:rsidRPr="00AE1F53">
        <w:rPr>
          <w:rFonts w:ascii="Times New Roman" w:hAnsi="Times New Roman"/>
          <w:i/>
          <w:sz w:val="24"/>
          <w:szCs w:val="24"/>
        </w:rPr>
        <w:t>Menurut Sensus Penduduk Tahun 2010</w:t>
      </w:r>
    </w:p>
    <w:p w:rsidR="005540C8" w:rsidRPr="00AE1F53" w:rsidRDefault="005540C8" w:rsidP="00CB123A">
      <w:pPr>
        <w:pStyle w:val="ListParagraph"/>
        <w:spacing w:after="0" w:line="360" w:lineRule="auto"/>
        <w:ind w:left="0"/>
        <w:jc w:val="center"/>
        <w:rPr>
          <w:rFonts w:ascii="Times New Roman" w:hAnsi="Times New Roman"/>
          <w:b/>
          <w:sz w:val="24"/>
          <w:szCs w:val="2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1957"/>
        <w:gridCol w:w="1354"/>
        <w:gridCol w:w="1592"/>
        <w:gridCol w:w="1354"/>
      </w:tblGrid>
      <w:tr w:rsidR="005540C8" w:rsidRPr="00AE1F53" w:rsidTr="00354F8A">
        <w:tc>
          <w:tcPr>
            <w:tcW w:w="637" w:type="dxa"/>
          </w:tcPr>
          <w:p w:rsidR="005540C8" w:rsidRPr="00AE1F53" w:rsidRDefault="005540C8" w:rsidP="00CB123A">
            <w:pPr>
              <w:pStyle w:val="ListParagraph"/>
              <w:spacing w:after="0" w:line="360" w:lineRule="auto"/>
              <w:ind w:left="0"/>
              <w:jc w:val="center"/>
              <w:rPr>
                <w:rFonts w:ascii="Times New Roman" w:hAnsi="Times New Roman"/>
                <w:b/>
                <w:sz w:val="24"/>
                <w:szCs w:val="24"/>
              </w:rPr>
            </w:pPr>
            <w:r w:rsidRPr="00AE1F53">
              <w:rPr>
                <w:rFonts w:ascii="Times New Roman" w:hAnsi="Times New Roman"/>
                <w:b/>
                <w:sz w:val="24"/>
                <w:szCs w:val="24"/>
              </w:rPr>
              <w:t>No</w:t>
            </w:r>
          </w:p>
        </w:tc>
        <w:tc>
          <w:tcPr>
            <w:tcW w:w="1957" w:type="dxa"/>
          </w:tcPr>
          <w:p w:rsidR="005540C8" w:rsidRPr="00AE1F53" w:rsidRDefault="005540C8" w:rsidP="00CB123A">
            <w:pPr>
              <w:pStyle w:val="ListParagraph"/>
              <w:spacing w:after="0" w:line="360" w:lineRule="auto"/>
              <w:ind w:left="0"/>
              <w:jc w:val="center"/>
              <w:rPr>
                <w:rFonts w:ascii="Times New Roman" w:hAnsi="Times New Roman"/>
                <w:b/>
                <w:sz w:val="24"/>
                <w:szCs w:val="24"/>
              </w:rPr>
            </w:pPr>
            <w:r w:rsidRPr="00AE1F53">
              <w:rPr>
                <w:rFonts w:ascii="Times New Roman" w:hAnsi="Times New Roman"/>
                <w:b/>
                <w:sz w:val="24"/>
                <w:szCs w:val="24"/>
              </w:rPr>
              <w:t>Kecamatan</w:t>
            </w:r>
          </w:p>
        </w:tc>
        <w:tc>
          <w:tcPr>
            <w:tcW w:w="1354" w:type="dxa"/>
          </w:tcPr>
          <w:p w:rsidR="005540C8" w:rsidRPr="00AE1F53" w:rsidRDefault="005540C8" w:rsidP="00CB123A">
            <w:pPr>
              <w:pStyle w:val="ListParagraph"/>
              <w:spacing w:after="0" w:line="360" w:lineRule="auto"/>
              <w:ind w:left="0"/>
              <w:jc w:val="center"/>
              <w:rPr>
                <w:rFonts w:ascii="Times New Roman" w:hAnsi="Times New Roman"/>
                <w:b/>
                <w:sz w:val="24"/>
                <w:szCs w:val="24"/>
              </w:rPr>
            </w:pPr>
            <w:r w:rsidRPr="00AE1F53">
              <w:rPr>
                <w:rFonts w:ascii="Times New Roman" w:hAnsi="Times New Roman"/>
                <w:b/>
                <w:sz w:val="24"/>
                <w:szCs w:val="24"/>
              </w:rPr>
              <w:t>Laki-laki</w:t>
            </w:r>
          </w:p>
        </w:tc>
        <w:tc>
          <w:tcPr>
            <w:tcW w:w="1592" w:type="dxa"/>
          </w:tcPr>
          <w:p w:rsidR="005540C8" w:rsidRPr="00AE1F53" w:rsidRDefault="005540C8" w:rsidP="00CB123A">
            <w:pPr>
              <w:pStyle w:val="ListParagraph"/>
              <w:spacing w:after="0" w:line="360" w:lineRule="auto"/>
              <w:ind w:left="0"/>
              <w:jc w:val="center"/>
              <w:rPr>
                <w:rFonts w:ascii="Times New Roman" w:hAnsi="Times New Roman"/>
                <w:b/>
                <w:sz w:val="24"/>
                <w:szCs w:val="24"/>
              </w:rPr>
            </w:pPr>
            <w:r w:rsidRPr="00AE1F53">
              <w:rPr>
                <w:rFonts w:ascii="Times New Roman" w:hAnsi="Times New Roman"/>
                <w:b/>
                <w:sz w:val="24"/>
                <w:szCs w:val="24"/>
              </w:rPr>
              <w:t>Perempuan</w:t>
            </w:r>
          </w:p>
        </w:tc>
        <w:tc>
          <w:tcPr>
            <w:tcW w:w="1354" w:type="dxa"/>
          </w:tcPr>
          <w:p w:rsidR="005540C8" w:rsidRPr="00AE1F53" w:rsidRDefault="005540C8" w:rsidP="00CB123A">
            <w:pPr>
              <w:pStyle w:val="ListParagraph"/>
              <w:spacing w:after="0" w:line="360" w:lineRule="auto"/>
              <w:ind w:left="0"/>
              <w:jc w:val="center"/>
              <w:rPr>
                <w:rFonts w:ascii="Times New Roman" w:hAnsi="Times New Roman"/>
                <w:b/>
                <w:sz w:val="24"/>
                <w:szCs w:val="24"/>
              </w:rPr>
            </w:pPr>
            <w:r w:rsidRPr="00AE1F53">
              <w:rPr>
                <w:rFonts w:ascii="Times New Roman" w:hAnsi="Times New Roman"/>
                <w:b/>
                <w:sz w:val="24"/>
                <w:szCs w:val="24"/>
              </w:rPr>
              <w:t>Jumlah</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1.</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Panggang</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12.725</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13.784</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26.509</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2.</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Purwosari</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9.247</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10.094</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19.361</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3.</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Paliyan</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13.972</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15.111</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29.083</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4.</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Saptosari</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16.528</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17.742</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34.270</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5.</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Tepus</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15.220</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16.669</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31.889</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6.</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Tanjungsari</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12.371</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13.327</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25.698</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7.</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Rongkop</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12.976</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13.925</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26.901</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8.</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Girisubo</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10.544</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11.644</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22.188</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9.</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Semanu</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24.944</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26.793</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51.737</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10</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Ponjong</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24.100</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25.703</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49.803</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11</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Karangmojo</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23.520</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25.248</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48.768</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12</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Wonosari</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38.527</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40.220</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78.747</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13</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Playen</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26.358</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28.134</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54.492</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14</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Patuk</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14.810</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15.526</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30.336</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15</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Gedangsari</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17.285</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17.980</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35.265</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16</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Nglipar</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14.408</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15.279</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29.687</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17</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Ngawen</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15.404</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16.218</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31.622</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18</w:t>
            </w: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Semin</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23.744</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25.282</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49.026</w:t>
            </w:r>
          </w:p>
        </w:tc>
      </w:tr>
      <w:tr w:rsidR="005540C8" w:rsidRPr="00AE1F53" w:rsidTr="00354F8A">
        <w:tc>
          <w:tcPr>
            <w:tcW w:w="637" w:type="dxa"/>
          </w:tcPr>
          <w:p w:rsidR="005540C8" w:rsidRPr="00AE1F53" w:rsidRDefault="005540C8" w:rsidP="00CB123A">
            <w:pPr>
              <w:pStyle w:val="ListParagraph"/>
              <w:spacing w:after="0" w:line="360" w:lineRule="auto"/>
              <w:ind w:left="0"/>
              <w:rPr>
                <w:rFonts w:ascii="Times New Roman" w:hAnsi="Times New Roman"/>
                <w:sz w:val="24"/>
                <w:szCs w:val="24"/>
              </w:rPr>
            </w:pPr>
          </w:p>
        </w:tc>
        <w:tc>
          <w:tcPr>
            <w:tcW w:w="1957" w:type="dxa"/>
          </w:tcPr>
          <w:p w:rsidR="005540C8" w:rsidRPr="00AE1F53" w:rsidRDefault="005540C8" w:rsidP="00CB123A">
            <w:pPr>
              <w:pStyle w:val="ListParagraph"/>
              <w:spacing w:after="0" w:line="360" w:lineRule="auto"/>
              <w:ind w:left="0"/>
              <w:rPr>
                <w:rFonts w:ascii="Times New Roman" w:hAnsi="Times New Roman"/>
                <w:sz w:val="24"/>
                <w:szCs w:val="24"/>
              </w:rPr>
            </w:pPr>
            <w:r w:rsidRPr="00AE1F53">
              <w:rPr>
                <w:rFonts w:ascii="Times New Roman" w:hAnsi="Times New Roman"/>
                <w:sz w:val="24"/>
                <w:szCs w:val="24"/>
              </w:rPr>
              <w:t>Jumlah</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326.703</w:t>
            </w:r>
          </w:p>
        </w:tc>
        <w:tc>
          <w:tcPr>
            <w:tcW w:w="1592"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348.679</w:t>
            </w:r>
          </w:p>
        </w:tc>
        <w:tc>
          <w:tcPr>
            <w:tcW w:w="1354" w:type="dxa"/>
          </w:tcPr>
          <w:p w:rsidR="005540C8" w:rsidRPr="00AE1F53" w:rsidRDefault="005540C8" w:rsidP="00CB123A">
            <w:pPr>
              <w:pStyle w:val="ListParagraph"/>
              <w:spacing w:after="0" w:line="360" w:lineRule="auto"/>
              <w:ind w:left="0"/>
              <w:jc w:val="right"/>
              <w:rPr>
                <w:rFonts w:ascii="Times New Roman" w:hAnsi="Times New Roman"/>
                <w:sz w:val="24"/>
                <w:szCs w:val="24"/>
              </w:rPr>
            </w:pPr>
            <w:r w:rsidRPr="00AE1F53">
              <w:rPr>
                <w:rFonts w:ascii="Times New Roman" w:hAnsi="Times New Roman"/>
                <w:sz w:val="24"/>
                <w:szCs w:val="24"/>
              </w:rPr>
              <w:t>675.382</w:t>
            </w:r>
          </w:p>
        </w:tc>
      </w:tr>
    </w:tbl>
    <w:p w:rsidR="005540C8" w:rsidRPr="00AE1F53" w:rsidRDefault="005540C8" w:rsidP="00CB123A">
      <w:pPr>
        <w:spacing w:after="0" w:line="360" w:lineRule="auto"/>
        <w:ind w:firstLine="1080"/>
        <w:rPr>
          <w:rFonts w:ascii="Times New Roman" w:hAnsi="Times New Roman"/>
          <w:i/>
          <w:sz w:val="24"/>
          <w:szCs w:val="24"/>
        </w:rPr>
      </w:pPr>
      <w:r w:rsidRPr="00AE1F53">
        <w:rPr>
          <w:rFonts w:ascii="Times New Roman" w:hAnsi="Times New Roman"/>
          <w:i/>
          <w:sz w:val="24"/>
          <w:szCs w:val="24"/>
        </w:rPr>
        <w:t xml:space="preserve">Sumber data :  Gunungkidul Dalam Angka Tahun 2011    </w:t>
      </w:r>
    </w:p>
    <w:p w:rsidR="009966A8" w:rsidRPr="00AE1F53" w:rsidRDefault="009966A8" w:rsidP="00CB123A">
      <w:pPr>
        <w:pStyle w:val="BodyTextIndent"/>
        <w:spacing w:after="0" w:line="360" w:lineRule="auto"/>
        <w:ind w:left="0"/>
        <w:jc w:val="both"/>
      </w:pPr>
    </w:p>
    <w:p w:rsidR="005540C8" w:rsidRPr="00AE1F53" w:rsidRDefault="005540C8" w:rsidP="00CB123A">
      <w:pPr>
        <w:pStyle w:val="BodyTextIndent"/>
        <w:spacing w:after="0" w:line="360" w:lineRule="auto"/>
        <w:ind w:left="0"/>
        <w:jc w:val="both"/>
        <w:rPr>
          <w:lang w:val="id-ID"/>
        </w:rPr>
      </w:pPr>
      <w:r w:rsidRPr="00AE1F53">
        <w:rPr>
          <w:lang w:val="id-ID"/>
        </w:rPr>
        <w:lastRenderedPageBreak/>
        <w:tab/>
      </w:r>
      <w:r w:rsidR="00B85662" w:rsidRPr="00AE1F53">
        <w:t xml:space="preserve">Kecamatan Karangmojo yang di dalamnya terdapat Desa Bejiharjo yang menjadi lokasi dari penelitian ini berada di urutan sebelas dari delapan belas kecamatan dari segi jumlah penduduknya.  </w:t>
      </w:r>
      <w:r w:rsidR="00100895" w:rsidRPr="00AE1F53">
        <w:t>Jika dir</w:t>
      </w:r>
      <w:r w:rsidRPr="00AE1F53">
        <w:t>ata-rata kepadatan penduduk Kabupaten Gunungkidul adalah 454 jiwa/</w:t>
      </w:r>
      <w:r w:rsidRPr="00AE1F53">
        <w:rPr>
          <w:lang w:val="id-ID"/>
        </w:rPr>
        <w:t>k</w:t>
      </w:r>
      <w:r w:rsidRPr="00AE1F53">
        <w:t>m</w:t>
      </w:r>
      <w:r w:rsidRPr="00AE1F53">
        <w:rPr>
          <w:vertAlign w:val="superscript"/>
        </w:rPr>
        <w:t>2</w:t>
      </w:r>
      <w:r w:rsidRPr="00AE1F53">
        <w:t>, dengan angka kepadatan penduduk tertinggi  di Kecamatan Wonosari  sebesar 1</w:t>
      </w:r>
      <w:r w:rsidRPr="00AE1F53">
        <w:rPr>
          <w:lang w:val="id-ID"/>
        </w:rPr>
        <w:t>.</w:t>
      </w:r>
      <w:r w:rsidRPr="00AE1F53">
        <w:t>042 jiwa/</w:t>
      </w:r>
      <w:r w:rsidRPr="00AE1F53">
        <w:rPr>
          <w:lang w:val="id-ID"/>
        </w:rPr>
        <w:t>k</w:t>
      </w:r>
      <w:r w:rsidRPr="00AE1F53">
        <w:t>m</w:t>
      </w:r>
      <w:r w:rsidRPr="00AE1F53">
        <w:rPr>
          <w:vertAlign w:val="superscript"/>
        </w:rPr>
        <w:t xml:space="preserve">2 </w:t>
      </w:r>
      <w:r w:rsidRPr="00AE1F53">
        <w:t xml:space="preserve"> dan angka kepadatan penduduk terendah berada di Kecamatan Girisubo sebesar 234 jiwa/km</w:t>
      </w:r>
      <w:r w:rsidRPr="00AE1F53">
        <w:rPr>
          <w:vertAlign w:val="superscript"/>
        </w:rPr>
        <w:t>2</w:t>
      </w:r>
      <w:r w:rsidRPr="00AE1F53">
        <w:t>.  Dengan jumlah rumah tangga yang tercatat sebanyak 193.478, rata-rata jiwa per rumah tangga di Kabupaten Gunungkidul tercatat 3,49 jiwa dengan angka tertinggi di Kecamatan Purwosari 3,99 jiwa per rumah tangga dan angka terendah di Kecamatan Patuk 3,33 jiwa per rumah tangga.</w:t>
      </w:r>
    </w:p>
    <w:p w:rsidR="005540C8" w:rsidRPr="00AE1F53" w:rsidRDefault="005540C8" w:rsidP="00CB123A">
      <w:pPr>
        <w:pStyle w:val="BodyTextIndent"/>
        <w:spacing w:after="0" w:line="360" w:lineRule="auto"/>
        <w:ind w:left="0" w:firstLine="720"/>
        <w:jc w:val="both"/>
        <w:rPr>
          <w:lang w:val="id-ID"/>
        </w:rPr>
      </w:pPr>
      <w:r w:rsidRPr="00AE1F53">
        <w:rPr>
          <w:lang w:val="id-ID"/>
        </w:rPr>
        <w:t>T</w:t>
      </w:r>
      <w:r w:rsidRPr="00AE1F53">
        <w:t>abel</w:t>
      </w:r>
      <w:r w:rsidR="009966A8" w:rsidRPr="00AE1F53">
        <w:rPr>
          <w:lang w:val="id-ID"/>
        </w:rPr>
        <w:t xml:space="preserve"> </w:t>
      </w:r>
      <w:r w:rsidR="009966A8" w:rsidRPr="00AE1F53">
        <w:t>1</w:t>
      </w:r>
      <w:r w:rsidRPr="00AE1F53">
        <w:rPr>
          <w:lang w:val="id-ID"/>
        </w:rPr>
        <w:t xml:space="preserve"> menunjukkan </w:t>
      </w:r>
      <w:r w:rsidRPr="00AE1F53">
        <w:t>bahwa sex ratio penduduk  Kabupaten Gunungkidul  sebesar  93,</w:t>
      </w:r>
      <w:r w:rsidRPr="00AE1F53">
        <w:rPr>
          <w:lang w:val="id-ID"/>
        </w:rPr>
        <w:t>70</w:t>
      </w:r>
      <w:r w:rsidRPr="00AE1F53">
        <w:t xml:space="preserve"> yang dapat diartikan bahwa jumlah penduduk laki-laki  6,31</w:t>
      </w:r>
      <w:r w:rsidRPr="00AE1F53">
        <w:rPr>
          <w:lang w:val="id-ID"/>
        </w:rPr>
        <w:t xml:space="preserve"> persen </w:t>
      </w:r>
      <w:r w:rsidRPr="00AE1F53">
        <w:t>lebih sedikit dibanding jumlah penduduk perempuan</w:t>
      </w:r>
      <w:r w:rsidRPr="00AE1F53">
        <w:rPr>
          <w:lang w:val="id-ID"/>
        </w:rPr>
        <w:t xml:space="preserve"> atau dari </w:t>
      </w:r>
      <w:r w:rsidRPr="00AE1F53">
        <w:t>setiap 100 orang perempuan terdapat 93,70 laki-laki</w:t>
      </w:r>
      <w:r w:rsidRPr="00AE1F53">
        <w:rPr>
          <w:lang w:val="id-ID"/>
        </w:rPr>
        <w:t xml:space="preserve">. </w:t>
      </w:r>
      <w:r w:rsidRPr="00AE1F53">
        <w:t xml:space="preserve">Kecamatan dengan </w:t>
      </w:r>
      <w:r w:rsidRPr="00AE1F53">
        <w:rPr>
          <w:i/>
        </w:rPr>
        <w:t>sex ratio</w:t>
      </w:r>
      <w:r w:rsidRPr="00AE1F53">
        <w:t xml:space="preserve"> paling tinggi adalah Kecamatan Gedangsari</w:t>
      </w:r>
      <w:r w:rsidRPr="00AE1F53">
        <w:rPr>
          <w:lang w:val="id-ID"/>
        </w:rPr>
        <w:t xml:space="preserve">  dengan nilai 96,13</w:t>
      </w:r>
      <w:r w:rsidRPr="00AE1F53">
        <w:t xml:space="preserve">, sedangkan Kecamatan dengan </w:t>
      </w:r>
      <w:r w:rsidRPr="00AE1F53">
        <w:rPr>
          <w:i/>
        </w:rPr>
        <w:t>sex ratio</w:t>
      </w:r>
      <w:r w:rsidRPr="00AE1F53">
        <w:t xml:space="preserve"> paling rendah adalah Kecamatan Tepus</w:t>
      </w:r>
      <w:r w:rsidRPr="00AE1F53">
        <w:rPr>
          <w:lang w:val="id-ID"/>
        </w:rPr>
        <w:t xml:space="preserve"> dengan nilai 91,30</w:t>
      </w:r>
      <w:r w:rsidRPr="00AE1F53">
        <w:t xml:space="preserve">. </w:t>
      </w:r>
    </w:p>
    <w:p w:rsidR="003C6116" w:rsidRPr="00AE1F53" w:rsidRDefault="003C6116" w:rsidP="00CB123A">
      <w:pPr>
        <w:pStyle w:val="BodyTextIndent"/>
        <w:spacing w:after="0" w:line="360" w:lineRule="auto"/>
        <w:ind w:left="0" w:firstLine="720"/>
        <w:jc w:val="both"/>
        <w:rPr>
          <w:color w:val="000000"/>
          <w:lang w:val="id-ID"/>
        </w:rPr>
      </w:pPr>
      <w:r w:rsidRPr="00AE1F53">
        <w:rPr>
          <w:color w:val="000000"/>
        </w:rPr>
        <w:t xml:space="preserve">Untuk dinamika laju pertumbuhan ekonomi merupakan salah satu indikator ekonomi makro yang digunakan oleh pemerintah sebagai asumsi dasar dalam penyusunan RAPBD serta mencerminkan tingkat kesejahteraan masyarakat disuatu wilayah, yang tercermin dari </w:t>
      </w:r>
      <w:r w:rsidRPr="00AE1F53">
        <w:rPr>
          <w:color w:val="000000"/>
          <w:lang w:val="id-ID"/>
        </w:rPr>
        <w:t xml:space="preserve">kenaikan </w:t>
      </w:r>
      <w:r w:rsidRPr="00AE1F53">
        <w:rPr>
          <w:color w:val="000000"/>
        </w:rPr>
        <w:t>angka PDRB perkapita. Laju pertumbuhan ekonomi</w:t>
      </w:r>
      <w:r w:rsidRPr="00AE1F53">
        <w:rPr>
          <w:color w:val="000000"/>
          <w:lang w:val="id-ID"/>
        </w:rPr>
        <w:t xml:space="preserve"> </w:t>
      </w:r>
      <w:r w:rsidRPr="00AE1F53">
        <w:rPr>
          <w:color w:val="000000"/>
        </w:rPr>
        <w:t>suatu daerah dihitung berdasarkan nilai Produk Domestik Regional Bruto (PDRB) atas dasar harga konstan. Laju pertumbuhan ekonomi</w:t>
      </w:r>
      <w:r w:rsidRPr="00AE1F53">
        <w:rPr>
          <w:color w:val="000000"/>
          <w:lang w:val="id-ID"/>
        </w:rPr>
        <w:t xml:space="preserve"> </w:t>
      </w:r>
      <w:r w:rsidRPr="00AE1F53">
        <w:rPr>
          <w:color w:val="000000"/>
        </w:rPr>
        <w:t>Kabupaten Gunungkidul memiliki kecenderungan</w:t>
      </w:r>
      <w:r w:rsidRPr="00AE1F53">
        <w:rPr>
          <w:color w:val="000000"/>
          <w:lang w:val="id-ID"/>
        </w:rPr>
        <w:t xml:space="preserve"> naik</w:t>
      </w:r>
      <w:r w:rsidRPr="00AE1F53">
        <w:rPr>
          <w:color w:val="000000"/>
        </w:rPr>
        <w:t xml:space="preserve">. Berdasarkan </w:t>
      </w:r>
      <w:r w:rsidRPr="00AE1F53">
        <w:rPr>
          <w:i/>
          <w:color w:val="000000"/>
        </w:rPr>
        <w:t>data series</w:t>
      </w:r>
      <w:r w:rsidRPr="00AE1F53">
        <w:rPr>
          <w:color w:val="000000"/>
        </w:rPr>
        <w:t xml:space="preserve">  pada tahun 2009</w:t>
      </w:r>
      <w:r w:rsidRPr="00AE1F53">
        <w:rPr>
          <w:color w:val="000000"/>
          <w:lang w:val="id-ID"/>
        </w:rPr>
        <w:t>,</w:t>
      </w:r>
      <w:r w:rsidRPr="00AE1F53">
        <w:rPr>
          <w:color w:val="000000"/>
        </w:rPr>
        <w:t xml:space="preserve"> </w:t>
      </w:r>
      <w:r w:rsidRPr="00AE1F53">
        <w:rPr>
          <w:color w:val="000000"/>
          <w:lang w:val="id-ID"/>
        </w:rPr>
        <w:t xml:space="preserve">2010 </w:t>
      </w:r>
      <w:r w:rsidRPr="00AE1F53">
        <w:rPr>
          <w:color w:val="000000"/>
        </w:rPr>
        <w:t>dan</w:t>
      </w:r>
      <w:r w:rsidRPr="00AE1F53">
        <w:rPr>
          <w:color w:val="000000"/>
          <w:lang w:val="id-ID"/>
        </w:rPr>
        <w:t xml:space="preserve"> 2011</w:t>
      </w:r>
      <w:r w:rsidRPr="00AE1F53">
        <w:rPr>
          <w:color w:val="000000"/>
        </w:rPr>
        <w:t xml:space="preserve"> diketahui angka pertumbuhan ekonomi berkisar antara </w:t>
      </w:r>
      <w:r w:rsidRPr="00AE1F53">
        <w:rPr>
          <w:color w:val="000000"/>
          <w:lang w:val="id-ID"/>
        </w:rPr>
        <w:t xml:space="preserve"> </w:t>
      </w:r>
      <w:r w:rsidRPr="00AE1F53">
        <w:rPr>
          <w:color w:val="000000"/>
        </w:rPr>
        <w:t>4,</w:t>
      </w:r>
      <w:r w:rsidRPr="00AE1F53">
        <w:rPr>
          <w:color w:val="000000"/>
          <w:lang w:val="id-ID"/>
        </w:rPr>
        <w:t>14;</w:t>
      </w:r>
      <w:r w:rsidRPr="00AE1F53">
        <w:rPr>
          <w:color w:val="000000"/>
        </w:rPr>
        <w:t xml:space="preserve"> </w:t>
      </w:r>
      <w:r w:rsidRPr="00AE1F53">
        <w:rPr>
          <w:color w:val="000000"/>
          <w:lang w:val="id-ID"/>
        </w:rPr>
        <w:t xml:space="preserve"> 4,15; </w:t>
      </w:r>
      <w:r w:rsidRPr="00AE1F53">
        <w:rPr>
          <w:color w:val="000000"/>
        </w:rPr>
        <w:t xml:space="preserve"> </w:t>
      </w:r>
      <w:r w:rsidRPr="00AE1F53">
        <w:rPr>
          <w:color w:val="000000"/>
          <w:lang w:val="id-ID"/>
        </w:rPr>
        <w:t>d</w:t>
      </w:r>
      <w:r w:rsidRPr="00AE1F53">
        <w:rPr>
          <w:color w:val="000000"/>
        </w:rPr>
        <w:t>an</w:t>
      </w:r>
      <w:r w:rsidRPr="00AE1F53">
        <w:rPr>
          <w:color w:val="000000"/>
          <w:lang w:val="id-ID"/>
        </w:rPr>
        <w:t xml:space="preserve">  4,30.</w:t>
      </w:r>
    </w:p>
    <w:p w:rsidR="003C6116" w:rsidRPr="00AE1F53" w:rsidRDefault="00100895" w:rsidP="00CB123A">
      <w:pPr>
        <w:pStyle w:val="BodyTextIndent"/>
        <w:spacing w:after="0" w:line="360" w:lineRule="auto"/>
        <w:ind w:left="0" w:firstLine="284"/>
        <w:jc w:val="both"/>
      </w:pPr>
      <w:r w:rsidRPr="00AE1F53">
        <w:rPr>
          <w:color w:val="000000"/>
        </w:rPr>
        <w:t xml:space="preserve">   </w:t>
      </w:r>
      <w:r w:rsidR="003C6116" w:rsidRPr="00AE1F53">
        <w:rPr>
          <w:color w:val="000000"/>
        </w:rPr>
        <w:t>Kontribusi sektor ekonomi Kabupaten Gunungkidul paling dominan di dominasi oleh sektor pertanian. Dari sektor pertanian Kabupaten Gunungkidul  telah berhasil memberikan andil  dalam PDRB sebesar  3</w:t>
      </w:r>
      <w:r w:rsidR="003C6116" w:rsidRPr="00AE1F53">
        <w:rPr>
          <w:color w:val="000000"/>
          <w:lang w:val="id-ID"/>
        </w:rPr>
        <w:t>6</w:t>
      </w:r>
      <w:r w:rsidR="003C6116" w:rsidRPr="00AE1F53">
        <w:rPr>
          <w:color w:val="000000"/>
        </w:rPr>
        <w:t>,8</w:t>
      </w:r>
      <w:r w:rsidR="003C6116" w:rsidRPr="00AE1F53">
        <w:rPr>
          <w:color w:val="000000"/>
          <w:lang w:val="id-ID"/>
        </w:rPr>
        <w:t>4</w:t>
      </w:r>
      <w:r w:rsidR="003C6116" w:rsidRPr="00AE1F53">
        <w:rPr>
          <w:color w:val="000000"/>
        </w:rPr>
        <w:t xml:space="preserve">%, diikuti oleh </w:t>
      </w:r>
      <w:r w:rsidR="003C6116" w:rsidRPr="00AE1F53">
        <w:rPr>
          <w:color w:val="000000"/>
        </w:rPr>
        <w:lastRenderedPageBreak/>
        <w:t>sektor  Perdagangan</w:t>
      </w:r>
      <w:r w:rsidR="003C6116" w:rsidRPr="00AE1F53">
        <w:rPr>
          <w:color w:val="000000"/>
          <w:lang w:val="id-ID"/>
        </w:rPr>
        <w:t>, Hotel dan Restoran</w:t>
      </w:r>
      <w:r w:rsidR="003C6116" w:rsidRPr="00AE1F53">
        <w:rPr>
          <w:color w:val="000000"/>
        </w:rPr>
        <w:t xml:space="preserve"> yang memberikan andil  sebesar  1</w:t>
      </w:r>
      <w:r w:rsidR="003C6116" w:rsidRPr="00AE1F53">
        <w:rPr>
          <w:color w:val="000000"/>
          <w:lang w:val="id-ID"/>
        </w:rPr>
        <w:t>5</w:t>
      </w:r>
      <w:r w:rsidR="003C6116" w:rsidRPr="00AE1F53">
        <w:rPr>
          <w:color w:val="000000"/>
        </w:rPr>
        <w:t>,</w:t>
      </w:r>
      <w:r w:rsidR="003C6116" w:rsidRPr="00AE1F53">
        <w:rPr>
          <w:color w:val="000000"/>
          <w:lang w:val="id-ID"/>
        </w:rPr>
        <w:t>12</w:t>
      </w:r>
      <w:r w:rsidR="003C6116" w:rsidRPr="00AE1F53">
        <w:rPr>
          <w:color w:val="000000"/>
        </w:rPr>
        <w:t>%, dan sektor  jasa-jasa menyumbang sebesar  1</w:t>
      </w:r>
      <w:r w:rsidR="003C6116" w:rsidRPr="00AE1F53">
        <w:rPr>
          <w:color w:val="000000"/>
          <w:lang w:val="id-ID"/>
        </w:rPr>
        <w:t>3</w:t>
      </w:r>
      <w:r w:rsidR="003C6116" w:rsidRPr="00AE1F53">
        <w:rPr>
          <w:color w:val="000000"/>
        </w:rPr>
        <w:t>,</w:t>
      </w:r>
      <w:r w:rsidR="003C6116" w:rsidRPr="00AE1F53">
        <w:rPr>
          <w:color w:val="000000"/>
          <w:lang w:val="id-ID"/>
        </w:rPr>
        <w:t>64</w:t>
      </w:r>
      <w:r w:rsidR="003C6116" w:rsidRPr="00AE1F53">
        <w:rPr>
          <w:color w:val="000000"/>
        </w:rPr>
        <w:t xml:space="preserve">%.  </w:t>
      </w:r>
      <w:r w:rsidR="003C6116" w:rsidRPr="00AE1F53">
        <w:t xml:space="preserve">Adapun nilai PDRB per kapita  yang berhasil di capai adalah </w:t>
      </w:r>
      <w:r w:rsidR="003C6116" w:rsidRPr="00AE1F53">
        <w:rPr>
          <w:lang w:val="id-ID"/>
        </w:rPr>
        <w:t xml:space="preserve">Rp </w:t>
      </w:r>
      <w:r w:rsidR="003C6116" w:rsidRPr="00AE1F53">
        <w:t>10</w:t>
      </w:r>
      <w:r w:rsidR="003C6116" w:rsidRPr="00AE1F53">
        <w:rPr>
          <w:lang w:val="id-ID"/>
        </w:rPr>
        <w:t>.</w:t>
      </w:r>
      <w:r w:rsidR="003C6116" w:rsidRPr="00AE1F53">
        <w:t>540</w:t>
      </w:r>
      <w:r w:rsidR="003C6116" w:rsidRPr="00AE1F53">
        <w:rPr>
          <w:lang w:val="id-ID"/>
        </w:rPr>
        <w:t>.</w:t>
      </w:r>
      <w:r w:rsidR="003C6116" w:rsidRPr="00AE1F53">
        <w:t>248,00</w:t>
      </w:r>
      <w:r w:rsidR="003C6116" w:rsidRPr="00AE1F53">
        <w:rPr>
          <w:lang w:val="id-ID"/>
        </w:rPr>
        <w:t xml:space="preserve">, </w:t>
      </w:r>
      <w:r w:rsidR="003C6116" w:rsidRPr="00AE1F53">
        <w:t>pada tahun 20</w:t>
      </w:r>
      <w:r w:rsidR="003C6116" w:rsidRPr="00AE1F53">
        <w:rPr>
          <w:lang w:val="id-ID"/>
        </w:rPr>
        <w:t>11</w:t>
      </w:r>
      <w:r w:rsidR="003C6116" w:rsidRPr="00AE1F53">
        <w:t xml:space="preserve"> atau naik sebesar  3,89 % di banding tahun 20</w:t>
      </w:r>
      <w:r w:rsidR="003C6116" w:rsidRPr="00AE1F53">
        <w:rPr>
          <w:lang w:val="id-ID"/>
        </w:rPr>
        <w:t>10</w:t>
      </w:r>
      <w:r w:rsidR="003C6116" w:rsidRPr="00AE1F53">
        <w:t xml:space="preserve"> sebesar </w:t>
      </w:r>
      <w:r w:rsidR="003C6116" w:rsidRPr="00AE1F53">
        <w:rPr>
          <w:lang w:val="id-ID"/>
        </w:rPr>
        <w:t>Rp 9.</w:t>
      </w:r>
      <w:r w:rsidR="003C6116" w:rsidRPr="00AE1F53">
        <w:t>8</w:t>
      </w:r>
      <w:r w:rsidR="003C6116" w:rsidRPr="00AE1F53">
        <w:rPr>
          <w:lang w:val="id-ID"/>
        </w:rPr>
        <w:t>08.</w:t>
      </w:r>
      <w:r w:rsidR="003C6116" w:rsidRPr="00AE1F53">
        <w:t>6</w:t>
      </w:r>
      <w:r w:rsidR="003C6116" w:rsidRPr="00AE1F53">
        <w:rPr>
          <w:lang w:val="id-ID"/>
        </w:rPr>
        <w:t>30</w:t>
      </w:r>
      <w:r w:rsidR="003C6116" w:rsidRPr="00AE1F53">
        <w:t>,00</w:t>
      </w:r>
      <w:r w:rsidR="003C6116" w:rsidRPr="00AE1F53">
        <w:rPr>
          <w:lang w:val="id-ID"/>
        </w:rPr>
        <w:t>.</w:t>
      </w:r>
      <w:r w:rsidR="003C6116" w:rsidRPr="00AE1F53">
        <w:t xml:space="preserve"> Sebagaimana tabel 2 berikut ini.</w:t>
      </w:r>
    </w:p>
    <w:p w:rsidR="005540C8" w:rsidRPr="00AE1F53" w:rsidRDefault="005540C8" w:rsidP="00CB123A">
      <w:pPr>
        <w:pStyle w:val="BodyTextIndent"/>
        <w:tabs>
          <w:tab w:val="left" w:pos="567"/>
        </w:tabs>
        <w:spacing w:after="0" w:line="360" w:lineRule="auto"/>
        <w:ind w:left="567"/>
        <w:jc w:val="both"/>
      </w:pPr>
    </w:p>
    <w:p w:rsidR="00CB123A" w:rsidRPr="00AE1F53" w:rsidRDefault="00CB123A" w:rsidP="00CB123A">
      <w:pPr>
        <w:pStyle w:val="BodyTextIndent"/>
        <w:tabs>
          <w:tab w:val="left" w:pos="567"/>
        </w:tabs>
        <w:spacing w:after="0" w:line="360" w:lineRule="auto"/>
        <w:ind w:left="567"/>
        <w:jc w:val="both"/>
      </w:pPr>
    </w:p>
    <w:p w:rsidR="005540C8" w:rsidRPr="00AE1F53" w:rsidRDefault="003C6116" w:rsidP="00CB123A">
      <w:pPr>
        <w:autoSpaceDE w:val="0"/>
        <w:autoSpaceDN w:val="0"/>
        <w:adjustRightInd w:val="0"/>
        <w:spacing w:after="0" w:line="360" w:lineRule="auto"/>
        <w:ind w:left="567" w:hanging="283"/>
        <w:jc w:val="center"/>
        <w:rPr>
          <w:rFonts w:ascii="Times New Roman" w:eastAsia="ArialNarrow" w:hAnsi="Times New Roman"/>
          <w:i/>
          <w:color w:val="000000"/>
          <w:sz w:val="24"/>
          <w:szCs w:val="24"/>
          <w:lang w:val="en-US"/>
        </w:rPr>
      </w:pPr>
      <w:r w:rsidRPr="00AE1F53">
        <w:rPr>
          <w:rFonts w:ascii="Times New Roman" w:eastAsia="ArialNarrow" w:hAnsi="Times New Roman"/>
          <w:i/>
          <w:color w:val="000000"/>
          <w:sz w:val="24"/>
          <w:szCs w:val="24"/>
        </w:rPr>
        <w:t xml:space="preserve">Tabel </w:t>
      </w:r>
      <w:r w:rsidRPr="00AE1F53">
        <w:rPr>
          <w:rFonts w:ascii="Times New Roman" w:eastAsia="ArialNarrow" w:hAnsi="Times New Roman"/>
          <w:i/>
          <w:color w:val="000000"/>
          <w:sz w:val="24"/>
          <w:szCs w:val="24"/>
          <w:lang w:val="en-US"/>
        </w:rPr>
        <w:t>2</w:t>
      </w:r>
    </w:p>
    <w:p w:rsidR="005540C8" w:rsidRPr="00AE1F53" w:rsidRDefault="005540C8" w:rsidP="00CB123A">
      <w:pPr>
        <w:autoSpaceDE w:val="0"/>
        <w:autoSpaceDN w:val="0"/>
        <w:adjustRightInd w:val="0"/>
        <w:spacing w:after="0" w:line="360" w:lineRule="auto"/>
        <w:ind w:left="567" w:hanging="283"/>
        <w:jc w:val="center"/>
        <w:rPr>
          <w:rFonts w:ascii="Times New Roman" w:eastAsia="ArialNarrow" w:hAnsi="Times New Roman"/>
          <w:i/>
          <w:color w:val="000000"/>
          <w:sz w:val="24"/>
          <w:szCs w:val="24"/>
        </w:rPr>
      </w:pPr>
      <w:r w:rsidRPr="00AE1F53">
        <w:rPr>
          <w:rFonts w:ascii="Times New Roman" w:eastAsia="ArialNarrow" w:hAnsi="Times New Roman"/>
          <w:i/>
          <w:color w:val="000000"/>
          <w:sz w:val="24"/>
          <w:szCs w:val="24"/>
        </w:rPr>
        <w:t>PDRB Kabupaten Gunungkidul Tahun 2009 - 2011</w:t>
      </w:r>
    </w:p>
    <w:p w:rsidR="005540C8" w:rsidRPr="00AE1F53" w:rsidRDefault="005540C8" w:rsidP="00CB123A">
      <w:pPr>
        <w:spacing w:after="0" w:line="360" w:lineRule="auto"/>
        <w:ind w:left="567" w:hanging="283"/>
        <w:jc w:val="center"/>
        <w:rPr>
          <w:rFonts w:ascii="Times New Roman" w:eastAsia="ArialNarrow" w:hAnsi="Times New Roman"/>
          <w:i/>
          <w:color w:val="000000"/>
          <w:sz w:val="24"/>
          <w:szCs w:val="24"/>
        </w:rPr>
      </w:pPr>
      <w:r w:rsidRPr="00AE1F53">
        <w:rPr>
          <w:rFonts w:ascii="Times New Roman" w:eastAsia="ArialNarrow" w:hAnsi="Times New Roman"/>
          <w:i/>
          <w:color w:val="000000"/>
          <w:sz w:val="24"/>
          <w:szCs w:val="24"/>
        </w:rPr>
        <w:t xml:space="preserve">Atas Dasar </w:t>
      </w:r>
      <w:r w:rsidRPr="00AE1F53">
        <w:rPr>
          <w:rFonts w:ascii="Times New Roman" w:eastAsia="ArialNarrow" w:hAnsi="Times New Roman"/>
          <w:i/>
          <w:color w:val="000000"/>
          <w:sz w:val="24"/>
          <w:szCs w:val="24"/>
          <w:lang w:val="sv-SE"/>
        </w:rPr>
        <w:t xml:space="preserve">Harga Konstan Tahun 2000 (Rp. </w:t>
      </w:r>
      <w:r w:rsidRPr="00AE1F53">
        <w:rPr>
          <w:rFonts w:ascii="Times New Roman" w:eastAsia="ArialNarrow" w:hAnsi="Times New Roman"/>
          <w:i/>
          <w:color w:val="000000"/>
          <w:sz w:val="24"/>
          <w:szCs w:val="24"/>
        </w:rPr>
        <w:t>Jutaan) Menurut Lapangan Usaha</w:t>
      </w:r>
    </w:p>
    <w:p w:rsidR="005540C8" w:rsidRPr="00AE1F53" w:rsidRDefault="005540C8" w:rsidP="00CB123A">
      <w:pPr>
        <w:spacing w:after="0" w:line="360" w:lineRule="auto"/>
        <w:jc w:val="center"/>
        <w:rPr>
          <w:rFonts w:ascii="Times New Roman" w:eastAsia="ArialNarrow" w:hAnsi="Times New Roman"/>
          <w:b/>
          <w:color w:val="000000"/>
          <w:sz w:val="24"/>
          <w:szCs w:val="24"/>
        </w:rPr>
      </w:pPr>
    </w:p>
    <w:tbl>
      <w:tblPr>
        <w:tblW w:w="8549" w:type="dxa"/>
        <w:jc w:val="right"/>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70" w:type="dxa"/>
        </w:tblCellMar>
        <w:tblLook w:val="01E0"/>
      </w:tblPr>
      <w:tblGrid>
        <w:gridCol w:w="850"/>
        <w:gridCol w:w="4253"/>
        <w:gridCol w:w="1134"/>
        <w:gridCol w:w="1156"/>
        <w:gridCol w:w="1156"/>
      </w:tblGrid>
      <w:tr w:rsidR="005540C8" w:rsidRPr="00AE1F53" w:rsidTr="00354F8A">
        <w:trPr>
          <w:trHeight w:val="487"/>
          <w:jc w:val="right"/>
        </w:trPr>
        <w:tc>
          <w:tcPr>
            <w:tcW w:w="850" w:type="dxa"/>
            <w:vAlign w:val="center"/>
          </w:tcPr>
          <w:p w:rsidR="005540C8" w:rsidRPr="00AE1F53" w:rsidRDefault="005540C8" w:rsidP="00CB123A">
            <w:pPr>
              <w:autoSpaceDE w:val="0"/>
              <w:autoSpaceDN w:val="0"/>
              <w:adjustRightInd w:val="0"/>
              <w:spacing w:after="0" w:line="360" w:lineRule="auto"/>
              <w:ind w:left="-19" w:right="-170"/>
              <w:jc w:val="center"/>
              <w:rPr>
                <w:rFonts w:ascii="Times New Roman" w:eastAsia="ArialNarrow" w:hAnsi="Times New Roman"/>
                <w:color w:val="000000"/>
                <w:sz w:val="24"/>
                <w:szCs w:val="24"/>
                <w:lang w:val="sv-SE"/>
              </w:rPr>
            </w:pPr>
            <w:r w:rsidRPr="00AE1F53">
              <w:rPr>
                <w:rFonts w:ascii="Times New Roman" w:hAnsi="Times New Roman"/>
                <w:b/>
                <w:bCs/>
                <w:color w:val="000000"/>
                <w:sz w:val="24"/>
                <w:szCs w:val="24"/>
              </w:rPr>
              <w:t>No</w:t>
            </w:r>
          </w:p>
        </w:tc>
        <w:tc>
          <w:tcPr>
            <w:tcW w:w="4253" w:type="dxa"/>
            <w:vAlign w:val="center"/>
          </w:tcPr>
          <w:p w:rsidR="005540C8" w:rsidRPr="00AE1F53" w:rsidRDefault="005540C8" w:rsidP="00CB123A">
            <w:pPr>
              <w:autoSpaceDE w:val="0"/>
              <w:autoSpaceDN w:val="0"/>
              <w:adjustRightInd w:val="0"/>
              <w:spacing w:after="0" w:line="360" w:lineRule="auto"/>
              <w:jc w:val="center"/>
              <w:rPr>
                <w:rFonts w:ascii="Times New Roman" w:eastAsia="ArialNarrow" w:hAnsi="Times New Roman"/>
                <w:color w:val="000000"/>
                <w:sz w:val="24"/>
                <w:szCs w:val="24"/>
                <w:lang w:val="sv-SE"/>
              </w:rPr>
            </w:pPr>
            <w:r w:rsidRPr="00AE1F53">
              <w:rPr>
                <w:rFonts w:ascii="Times New Roman" w:hAnsi="Times New Roman"/>
                <w:b/>
                <w:bCs/>
                <w:color w:val="000000"/>
                <w:sz w:val="24"/>
                <w:szCs w:val="24"/>
              </w:rPr>
              <w:t>Lapangan Usaha</w:t>
            </w:r>
          </w:p>
        </w:tc>
        <w:tc>
          <w:tcPr>
            <w:tcW w:w="1134" w:type="dxa"/>
            <w:vAlign w:val="center"/>
          </w:tcPr>
          <w:p w:rsidR="005540C8" w:rsidRPr="00AE1F53" w:rsidRDefault="005540C8" w:rsidP="00CB123A">
            <w:pPr>
              <w:spacing w:after="0" w:line="360" w:lineRule="auto"/>
              <w:ind w:left="-108" w:right="-108"/>
              <w:jc w:val="center"/>
              <w:rPr>
                <w:rFonts w:ascii="Times New Roman" w:hAnsi="Times New Roman"/>
                <w:color w:val="000000"/>
                <w:sz w:val="24"/>
                <w:szCs w:val="24"/>
              </w:rPr>
            </w:pPr>
            <w:r w:rsidRPr="00AE1F53">
              <w:rPr>
                <w:rFonts w:ascii="Times New Roman" w:hAnsi="Times New Roman"/>
                <w:b/>
                <w:bCs/>
                <w:color w:val="000000"/>
                <w:sz w:val="24"/>
                <w:szCs w:val="24"/>
              </w:rPr>
              <w:t>2009</w:t>
            </w:r>
          </w:p>
        </w:tc>
        <w:tc>
          <w:tcPr>
            <w:tcW w:w="1156" w:type="dxa"/>
            <w:vAlign w:val="center"/>
          </w:tcPr>
          <w:p w:rsidR="005540C8" w:rsidRPr="00AE1F53" w:rsidRDefault="005540C8" w:rsidP="00CB123A">
            <w:pPr>
              <w:spacing w:after="0" w:line="360" w:lineRule="auto"/>
              <w:ind w:left="-108" w:right="-108"/>
              <w:jc w:val="center"/>
              <w:rPr>
                <w:rFonts w:ascii="Times New Roman" w:hAnsi="Times New Roman"/>
                <w:b/>
                <w:bCs/>
                <w:color w:val="000000"/>
                <w:sz w:val="24"/>
                <w:szCs w:val="24"/>
              </w:rPr>
            </w:pPr>
            <w:r w:rsidRPr="00AE1F53">
              <w:rPr>
                <w:rFonts w:ascii="Times New Roman" w:hAnsi="Times New Roman"/>
                <w:b/>
                <w:bCs/>
                <w:color w:val="000000"/>
                <w:sz w:val="24"/>
                <w:szCs w:val="24"/>
              </w:rPr>
              <w:t>2010</w:t>
            </w:r>
          </w:p>
        </w:tc>
        <w:tc>
          <w:tcPr>
            <w:tcW w:w="1156" w:type="dxa"/>
            <w:vAlign w:val="center"/>
          </w:tcPr>
          <w:p w:rsidR="005540C8" w:rsidRPr="00AE1F53" w:rsidRDefault="005540C8" w:rsidP="00CB123A">
            <w:pPr>
              <w:spacing w:after="0" w:line="360" w:lineRule="auto"/>
              <w:ind w:left="-108" w:right="-108"/>
              <w:jc w:val="center"/>
              <w:rPr>
                <w:rFonts w:ascii="Times New Roman" w:hAnsi="Times New Roman"/>
                <w:b/>
                <w:bCs/>
                <w:color w:val="000000"/>
                <w:sz w:val="24"/>
                <w:szCs w:val="24"/>
              </w:rPr>
            </w:pPr>
            <w:r w:rsidRPr="00AE1F53">
              <w:rPr>
                <w:rFonts w:ascii="Times New Roman" w:hAnsi="Times New Roman"/>
                <w:b/>
                <w:bCs/>
                <w:color w:val="000000"/>
                <w:sz w:val="24"/>
                <w:szCs w:val="24"/>
              </w:rPr>
              <w:t>2011</w:t>
            </w:r>
          </w:p>
        </w:tc>
      </w:tr>
      <w:tr w:rsidR="005540C8" w:rsidRPr="00AE1F53" w:rsidTr="00354F8A">
        <w:trPr>
          <w:jc w:val="right"/>
        </w:trPr>
        <w:tc>
          <w:tcPr>
            <w:tcW w:w="850" w:type="dxa"/>
            <w:vAlign w:val="center"/>
          </w:tcPr>
          <w:p w:rsidR="005540C8" w:rsidRPr="00AE1F53" w:rsidRDefault="005540C8" w:rsidP="00CB123A">
            <w:pPr>
              <w:autoSpaceDE w:val="0"/>
              <w:autoSpaceDN w:val="0"/>
              <w:adjustRightInd w:val="0"/>
              <w:spacing w:after="0" w:line="360" w:lineRule="auto"/>
              <w:jc w:val="center"/>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1</w:t>
            </w:r>
          </w:p>
        </w:tc>
        <w:tc>
          <w:tcPr>
            <w:tcW w:w="4253" w:type="dxa"/>
            <w:vAlign w:val="center"/>
          </w:tcPr>
          <w:p w:rsidR="005540C8" w:rsidRPr="00AE1F53" w:rsidRDefault="005540C8" w:rsidP="00CB123A">
            <w:pPr>
              <w:autoSpaceDE w:val="0"/>
              <w:autoSpaceDN w:val="0"/>
              <w:adjustRightInd w:val="0"/>
              <w:spacing w:after="0" w:line="360" w:lineRule="auto"/>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rPr>
              <w:t>Pertanian</w:t>
            </w:r>
          </w:p>
        </w:tc>
        <w:tc>
          <w:tcPr>
            <w:tcW w:w="1134"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1.272.290</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1.268.080</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1.279.456</w:t>
            </w:r>
          </w:p>
        </w:tc>
      </w:tr>
      <w:tr w:rsidR="005540C8" w:rsidRPr="00AE1F53" w:rsidTr="00354F8A">
        <w:trPr>
          <w:jc w:val="right"/>
        </w:trPr>
        <w:tc>
          <w:tcPr>
            <w:tcW w:w="850" w:type="dxa"/>
            <w:vAlign w:val="center"/>
          </w:tcPr>
          <w:p w:rsidR="005540C8" w:rsidRPr="00AE1F53" w:rsidRDefault="005540C8" w:rsidP="00CB123A">
            <w:pPr>
              <w:autoSpaceDE w:val="0"/>
              <w:autoSpaceDN w:val="0"/>
              <w:adjustRightInd w:val="0"/>
              <w:spacing w:after="0" w:line="360" w:lineRule="auto"/>
              <w:jc w:val="center"/>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2</w:t>
            </w:r>
          </w:p>
        </w:tc>
        <w:tc>
          <w:tcPr>
            <w:tcW w:w="4253" w:type="dxa"/>
            <w:vAlign w:val="center"/>
          </w:tcPr>
          <w:p w:rsidR="005540C8" w:rsidRPr="00AE1F53" w:rsidRDefault="005540C8" w:rsidP="00CB123A">
            <w:pPr>
              <w:autoSpaceDE w:val="0"/>
              <w:autoSpaceDN w:val="0"/>
              <w:adjustRightInd w:val="0"/>
              <w:spacing w:after="0" w:line="360" w:lineRule="auto"/>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rPr>
              <w:t>Pertambangan dan galian</w:t>
            </w:r>
          </w:p>
        </w:tc>
        <w:tc>
          <w:tcPr>
            <w:tcW w:w="1134"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55.939</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58.472</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60.880</w:t>
            </w:r>
          </w:p>
        </w:tc>
      </w:tr>
      <w:tr w:rsidR="005540C8" w:rsidRPr="00AE1F53" w:rsidTr="00354F8A">
        <w:trPr>
          <w:jc w:val="right"/>
        </w:trPr>
        <w:tc>
          <w:tcPr>
            <w:tcW w:w="850" w:type="dxa"/>
            <w:vAlign w:val="center"/>
          </w:tcPr>
          <w:p w:rsidR="005540C8" w:rsidRPr="00AE1F53" w:rsidRDefault="005540C8" w:rsidP="00CB123A">
            <w:pPr>
              <w:autoSpaceDE w:val="0"/>
              <w:autoSpaceDN w:val="0"/>
              <w:adjustRightInd w:val="0"/>
              <w:spacing w:after="0" w:line="360" w:lineRule="auto"/>
              <w:jc w:val="center"/>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3</w:t>
            </w:r>
          </w:p>
        </w:tc>
        <w:tc>
          <w:tcPr>
            <w:tcW w:w="4253" w:type="dxa"/>
            <w:vAlign w:val="center"/>
          </w:tcPr>
          <w:p w:rsidR="005540C8" w:rsidRPr="00AE1F53" w:rsidRDefault="005540C8" w:rsidP="00CB123A">
            <w:pPr>
              <w:autoSpaceDE w:val="0"/>
              <w:autoSpaceDN w:val="0"/>
              <w:adjustRightInd w:val="0"/>
              <w:spacing w:after="0" w:line="360" w:lineRule="auto"/>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rPr>
              <w:t>Industri Pengolahan</w:t>
            </w:r>
          </w:p>
        </w:tc>
        <w:tc>
          <w:tcPr>
            <w:tcW w:w="1134"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341.216</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368.423</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391.485</w:t>
            </w:r>
          </w:p>
        </w:tc>
      </w:tr>
      <w:tr w:rsidR="005540C8" w:rsidRPr="00AE1F53" w:rsidTr="00354F8A">
        <w:trPr>
          <w:jc w:val="right"/>
        </w:trPr>
        <w:tc>
          <w:tcPr>
            <w:tcW w:w="850" w:type="dxa"/>
            <w:vAlign w:val="center"/>
          </w:tcPr>
          <w:p w:rsidR="005540C8" w:rsidRPr="00AE1F53" w:rsidRDefault="005540C8" w:rsidP="00CB123A">
            <w:pPr>
              <w:autoSpaceDE w:val="0"/>
              <w:autoSpaceDN w:val="0"/>
              <w:adjustRightInd w:val="0"/>
              <w:spacing w:after="0" w:line="360" w:lineRule="auto"/>
              <w:jc w:val="center"/>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4</w:t>
            </w:r>
          </w:p>
        </w:tc>
        <w:tc>
          <w:tcPr>
            <w:tcW w:w="4253" w:type="dxa"/>
            <w:vAlign w:val="center"/>
          </w:tcPr>
          <w:p w:rsidR="005540C8" w:rsidRPr="00AE1F53" w:rsidRDefault="005540C8" w:rsidP="00CB123A">
            <w:pPr>
              <w:autoSpaceDE w:val="0"/>
              <w:autoSpaceDN w:val="0"/>
              <w:adjustRightInd w:val="0"/>
              <w:spacing w:after="0" w:line="360" w:lineRule="auto"/>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rPr>
              <w:t>Listrik, Gas, dan Air Bersih</w:t>
            </w:r>
          </w:p>
        </w:tc>
        <w:tc>
          <w:tcPr>
            <w:tcW w:w="1134"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17.760</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18.999</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19.780</w:t>
            </w:r>
          </w:p>
        </w:tc>
      </w:tr>
      <w:tr w:rsidR="005540C8" w:rsidRPr="00AE1F53" w:rsidTr="00354F8A">
        <w:trPr>
          <w:jc w:val="right"/>
        </w:trPr>
        <w:tc>
          <w:tcPr>
            <w:tcW w:w="850" w:type="dxa"/>
            <w:vAlign w:val="center"/>
          </w:tcPr>
          <w:p w:rsidR="005540C8" w:rsidRPr="00AE1F53" w:rsidRDefault="005540C8" w:rsidP="00CB123A">
            <w:pPr>
              <w:autoSpaceDE w:val="0"/>
              <w:autoSpaceDN w:val="0"/>
              <w:adjustRightInd w:val="0"/>
              <w:spacing w:after="0" w:line="360" w:lineRule="auto"/>
              <w:jc w:val="center"/>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5</w:t>
            </w:r>
          </w:p>
        </w:tc>
        <w:tc>
          <w:tcPr>
            <w:tcW w:w="4253" w:type="dxa"/>
            <w:vAlign w:val="center"/>
          </w:tcPr>
          <w:p w:rsidR="005540C8" w:rsidRPr="00AE1F53" w:rsidRDefault="005540C8" w:rsidP="00CB123A">
            <w:pPr>
              <w:autoSpaceDE w:val="0"/>
              <w:autoSpaceDN w:val="0"/>
              <w:adjustRightInd w:val="0"/>
              <w:spacing w:after="0" w:line="360" w:lineRule="auto"/>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rPr>
              <w:t>B a n g u n a n</w:t>
            </w:r>
          </w:p>
        </w:tc>
        <w:tc>
          <w:tcPr>
            <w:tcW w:w="1134"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261.856</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279.518</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299.185</w:t>
            </w:r>
          </w:p>
        </w:tc>
      </w:tr>
      <w:tr w:rsidR="005540C8" w:rsidRPr="00AE1F53" w:rsidTr="00354F8A">
        <w:trPr>
          <w:jc w:val="right"/>
        </w:trPr>
        <w:tc>
          <w:tcPr>
            <w:tcW w:w="850" w:type="dxa"/>
            <w:vAlign w:val="center"/>
          </w:tcPr>
          <w:p w:rsidR="005540C8" w:rsidRPr="00AE1F53" w:rsidRDefault="005540C8" w:rsidP="00CB123A">
            <w:pPr>
              <w:autoSpaceDE w:val="0"/>
              <w:autoSpaceDN w:val="0"/>
              <w:adjustRightInd w:val="0"/>
              <w:spacing w:after="0" w:line="360" w:lineRule="auto"/>
              <w:jc w:val="center"/>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6</w:t>
            </w:r>
          </w:p>
        </w:tc>
        <w:tc>
          <w:tcPr>
            <w:tcW w:w="4253" w:type="dxa"/>
            <w:vAlign w:val="center"/>
          </w:tcPr>
          <w:p w:rsidR="005540C8" w:rsidRPr="00AE1F53" w:rsidRDefault="005540C8" w:rsidP="00CB123A">
            <w:pPr>
              <w:autoSpaceDE w:val="0"/>
              <w:autoSpaceDN w:val="0"/>
              <w:adjustRightInd w:val="0"/>
              <w:spacing w:after="0" w:line="360" w:lineRule="auto"/>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rPr>
              <w:t>Perdagangan, Hotel dan Restoran</w:t>
            </w:r>
          </w:p>
        </w:tc>
        <w:tc>
          <w:tcPr>
            <w:tcW w:w="1134"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lang w:val="sv-SE"/>
              </w:rPr>
              <w:t>467.</w:t>
            </w:r>
            <w:r w:rsidRPr="00AE1F53">
              <w:rPr>
                <w:rFonts w:ascii="Times New Roman" w:eastAsia="ArialNarrow" w:hAnsi="Times New Roman"/>
                <w:color w:val="000000"/>
                <w:sz w:val="24"/>
                <w:szCs w:val="24"/>
              </w:rPr>
              <w:t>680</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496.688</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525.156</w:t>
            </w:r>
          </w:p>
        </w:tc>
      </w:tr>
      <w:tr w:rsidR="005540C8" w:rsidRPr="00AE1F53" w:rsidTr="00354F8A">
        <w:trPr>
          <w:jc w:val="right"/>
        </w:trPr>
        <w:tc>
          <w:tcPr>
            <w:tcW w:w="850" w:type="dxa"/>
            <w:vAlign w:val="center"/>
          </w:tcPr>
          <w:p w:rsidR="005540C8" w:rsidRPr="00AE1F53" w:rsidRDefault="005540C8" w:rsidP="00CB123A">
            <w:pPr>
              <w:autoSpaceDE w:val="0"/>
              <w:autoSpaceDN w:val="0"/>
              <w:adjustRightInd w:val="0"/>
              <w:spacing w:after="0" w:line="360" w:lineRule="auto"/>
              <w:jc w:val="center"/>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7</w:t>
            </w:r>
          </w:p>
        </w:tc>
        <w:tc>
          <w:tcPr>
            <w:tcW w:w="4253" w:type="dxa"/>
            <w:vAlign w:val="center"/>
          </w:tcPr>
          <w:p w:rsidR="005540C8" w:rsidRPr="00AE1F53" w:rsidRDefault="005540C8" w:rsidP="00CB123A">
            <w:pPr>
              <w:autoSpaceDE w:val="0"/>
              <w:autoSpaceDN w:val="0"/>
              <w:adjustRightInd w:val="0"/>
              <w:spacing w:after="0" w:line="360" w:lineRule="auto"/>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rPr>
              <w:t>Pengangkutan dan Komunikasi</w:t>
            </w:r>
          </w:p>
        </w:tc>
        <w:tc>
          <w:tcPr>
            <w:tcW w:w="1134"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220.126</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234.644</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251.865</w:t>
            </w:r>
          </w:p>
        </w:tc>
      </w:tr>
      <w:tr w:rsidR="005540C8" w:rsidRPr="00AE1F53" w:rsidTr="00354F8A">
        <w:trPr>
          <w:jc w:val="right"/>
        </w:trPr>
        <w:tc>
          <w:tcPr>
            <w:tcW w:w="850" w:type="dxa"/>
            <w:vAlign w:val="center"/>
          </w:tcPr>
          <w:p w:rsidR="005540C8" w:rsidRPr="00AE1F53" w:rsidRDefault="005540C8" w:rsidP="00CB123A">
            <w:pPr>
              <w:autoSpaceDE w:val="0"/>
              <w:autoSpaceDN w:val="0"/>
              <w:adjustRightInd w:val="0"/>
              <w:spacing w:after="0" w:line="360" w:lineRule="auto"/>
              <w:jc w:val="center"/>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8</w:t>
            </w:r>
          </w:p>
        </w:tc>
        <w:tc>
          <w:tcPr>
            <w:tcW w:w="4253" w:type="dxa"/>
            <w:vAlign w:val="center"/>
          </w:tcPr>
          <w:p w:rsidR="005540C8" w:rsidRPr="00AE1F53" w:rsidRDefault="005540C8" w:rsidP="00CB123A">
            <w:pPr>
              <w:autoSpaceDE w:val="0"/>
              <w:autoSpaceDN w:val="0"/>
              <w:adjustRightInd w:val="0"/>
              <w:spacing w:after="0" w:line="360" w:lineRule="auto"/>
              <w:rPr>
                <w:rFonts w:ascii="Times New Roman" w:eastAsia="ArialNarrow" w:hAnsi="Times New Roman"/>
                <w:color w:val="000000"/>
                <w:sz w:val="24"/>
                <w:szCs w:val="24"/>
              </w:rPr>
            </w:pPr>
            <w:r w:rsidRPr="00AE1F53">
              <w:rPr>
                <w:rFonts w:ascii="Times New Roman" w:eastAsia="ArialNarrow" w:hAnsi="Times New Roman"/>
                <w:color w:val="000000"/>
                <w:sz w:val="24"/>
                <w:szCs w:val="24"/>
              </w:rPr>
              <w:t>Keuangan, Persewaan, dan Jasa Perusahaan</w:t>
            </w:r>
          </w:p>
        </w:tc>
        <w:tc>
          <w:tcPr>
            <w:tcW w:w="1134"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lang w:val="sv-SE"/>
              </w:rPr>
              <w:t>145.</w:t>
            </w:r>
            <w:r w:rsidRPr="00AE1F53">
              <w:rPr>
                <w:rFonts w:ascii="Times New Roman" w:eastAsia="ArialNarrow" w:hAnsi="Times New Roman"/>
                <w:color w:val="000000"/>
                <w:sz w:val="24"/>
                <w:szCs w:val="24"/>
              </w:rPr>
              <w:t>597</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159.910</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171.605</w:t>
            </w:r>
          </w:p>
        </w:tc>
      </w:tr>
      <w:tr w:rsidR="005540C8" w:rsidRPr="00AE1F53" w:rsidTr="00354F8A">
        <w:trPr>
          <w:jc w:val="right"/>
        </w:trPr>
        <w:tc>
          <w:tcPr>
            <w:tcW w:w="850" w:type="dxa"/>
            <w:vAlign w:val="center"/>
          </w:tcPr>
          <w:p w:rsidR="005540C8" w:rsidRPr="00AE1F53" w:rsidRDefault="005540C8" w:rsidP="00CB123A">
            <w:pPr>
              <w:autoSpaceDE w:val="0"/>
              <w:autoSpaceDN w:val="0"/>
              <w:adjustRightInd w:val="0"/>
              <w:spacing w:after="0" w:line="360" w:lineRule="auto"/>
              <w:jc w:val="center"/>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9</w:t>
            </w:r>
          </w:p>
        </w:tc>
        <w:tc>
          <w:tcPr>
            <w:tcW w:w="4253" w:type="dxa"/>
            <w:vAlign w:val="center"/>
          </w:tcPr>
          <w:p w:rsidR="005540C8" w:rsidRPr="00AE1F53" w:rsidRDefault="005540C8" w:rsidP="00CB123A">
            <w:pPr>
              <w:autoSpaceDE w:val="0"/>
              <w:autoSpaceDN w:val="0"/>
              <w:adjustRightInd w:val="0"/>
              <w:spacing w:after="0" w:line="360" w:lineRule="auto"/>
              <w:rPr>
                <w:rFonts w:ascii="Times New Roman" w:eastAsia="ArialNarrow" w:hAnsi="Times New Roman"/>
                <w:color w:val="000000"/>
                <w:sz w:val="24"/>
                <w:szCs w:val="24"/>
              </w:rPr>
            </w:pPr>
            <w:r w:rsidRPr="00AE1F53">
              <w:rPr>
                <w:rFonts w:ascii="Times New Roman" w:eastAsia="ArialNarrow" w:hAnsi="Times New Roman"/>
                <w:color w:val="000000"/>
                <w:sz w:val="24"/>
                <w:szCs w:val="24"/>
              </w:rPr>
              <w:t>Jasa – Jasa</w:t>
            </w:r>
          </w:p>
        </w:tc>
        <w:tc>
          <w:tcPr>
            <w:tcW w:w="1134"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lang w:val="sv-SE"/>
              </w:rPr>
            </w:pPr>
            <w:r w:rsidRPr="00AE1F53">
              <w:rPr>
                <w:rFonts w:ascii="Times New Roman" w:eastAsia="ArialNarrow" w:hAnsi="Times New Roman"/>
                <w:color w:val="000000"/>
                <w:sz w:val="24"/>
                <w:szCs w:val="24"/>
                <w:lang w:val="sv-SE"/>
              </w:rPr>
              <w:t>414.901</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445.345</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473.747</w:t>
            </w:r>
          </w:p>
        </w:tc>
      </w:tr>
      <w:tr w:rsidR="005540C8" w:rsidRPr="00AE1F53" w:rsidTr="00354F8A">
        <w:trPr>
          <w:jc w:val="right"/>
        </w:trPr>
        <w:tc>
          <w:tcPr>
            <w:tcW w:w="5103" w:type="dxa"/>
            <w:gridSpan w:val="2"/>
            <w:vAlign w:val="center"/>
          </w:tcPr>
          <w:p w:rsidR="005540C8" w:rsidRPr="00AE1F53" w:rsidRDefault="005540C8" w:rsidP="00CB123A">
            <w:pPr>
              <w:autoSpaceDE w:val="0"/>
              <w:autoSpaceDN w:val="0"/>
              <w:adjustRightInd w:val="0"/>
              <w:spacing w:after="0" w:line="360" w:lineRule="auto"/>
              <w:rPr>
                <w:rFonts w:ascii="Times New Roman" w:eastAsia="ArialNarrow" w:hAnsi="Times New Roman"/>
                <w:color w:val="000000"/>
                <w:sz w:val="24"/>
                <w:szCs w:val="24"/>
              </w:rPr>
            </w:pPr>
            <w:r w:rsidRPr="00AE1F53">
              <w:rPr>
                <w:rFonts w:ascii="Times New Roman" w:hAnsi="Times New Roman"/>
                <w:iCs/>
                <w:color w:val="000000"/>
                <w:sz w:val="24"/>
                <w:szCs w:val="24"/>
              </w:rPr>
              <w:t>PDRB Konstan</w:t>
            </w:r>
          </w:p>
        </w:tc>
        <w:tc>
          <w:tcPr>
            <w:tcW w:w="1134"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3.197.365</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3.330.079</w:t>
            </w:r>
          </w:p>
        </w:tc>
        <w:tc>
          <w:tcPr>
            <w:tcW w:w="1156" w:type="dxa"/>
            <w:vAlign w:val="center"/>
          </w:tcPr>
          <w:p w:rsidR="005540C8" w:rsidRPr="00AE1F53" w:rsidRDefault="005540C8" w:rsidP="00CB123A">
            <w:pPr>
              <w:autoSpaceDE w:val="0"/>
              <w:autoSpaceDN w:val="0"/>
              <w:adjustRightInd w:val="0"/>
              <w:spacing w:after="0" w:line="360" w:lineRule="auto"/>
              <w:ind w:left="-108" w:right="-108"/>
              <w:jc w:val="right"/>
              <w:rPr>
                <w:rFonts w:ascii="Times New Roman" w:eastAsia="ArialNarrow" w:hAnsi="Times New Roman"/>
                <w:color w:val="000000"/>
                <w:sz w:val="24"/>
                <w:szCs w:val="24"/>
              </w:rPr>
            </w:pPr>
            <w:r w:rsidRPr="00AE1F53">
              <w:rPr>
                <w:rFonts w:ascii="Times New Roman" w:eastAsia="ArialNarrow" w:hAnsi="Times New Roman"/>
                <w:color w:val="000000"/>
                <w:sz w:val="24"/>
                <w:szCs w:val="24"/>
              </w:rPr>
              <w:t>3.473.159</w:t>
            </w:r>
          </w:p>
        </w:tc>
      </w:tr>
      <w:tr w:rsidR="005540C8" w:rsidRPr="00AE1F53" w:rsidTr="00354F8A">
        <w:trPr>
          <w:trHeight w:val="397"/>
          <w:jc w:val="right"/>
        </w:trPr>
        <w:tc>
          <w:tcPr>
            <w:tcW w:w="5103" w:type="dxa"/>
            <w:gridSpan w:val="2"/>
            <w:vAlign w:val="center"/>
          </w:tcPr>
          <w:p w:rsidR="005540C8" w:rsidRPr="00AE1F53" w:rsidRDefault="005540C8" w:rsidP="00CB123A">
            <w:pPr>
              <w:autoSpaceDE w:val="0"/>
              <w:autoSpaceDN w:val="0"/>
              <w:adjustRightInd w:val="0"/>
              <w:spacing w:after="0" w:line="360" w:lineRule="auto"/>
              <w:rPr>
                <w:rFonts w:ascii="Times New Roman" w:eastAsia="ArialNarrow" w:hAnsi="Times New Roman"/>
                <w:b/>
                <w:color w:val="000000"/>
                <w:sz w:val="24"/>
                <w:szCs w:val="24"/>
              </w:rPr>
            </w:pPr>
            <w:r w:rsidRPr="00AE1F53">
              <w:rPr>
                <w:rFonts w:ascii="Times New Roman" w:hAnsi="Times New Roman"/>
                <w:b/>
                <w:iCs/>
                <w:color w:val="000000"/>
                <w:sz w:val="24"/>
                <w:szCs w:val="24"/>
              </w:rPr>
              <w:t>Pertumbuhan PDRB per tahun ( %)</w:t>
            </w:r>
          </w:p>
        </w:tc>
        <w:tc>
          <w:tcPr>
            <w:tcW w:w="1134" w:type="dxa"/>
            <w:vAlign w:val="center"/>
          </w:tcPr>
          <w:p w:rsidR="005540C8" w:rsidRPr="00AE1F53" w:rsidRDefault="005540C8" w:rsidP="00CB123A">
            <w:pPr>
              <w:autoSpaceDE w:val="0"/>
              <w:autoSpaceDN w:val="0"/>
              <w:adjustRightInd w:val="0"/>
              <w:spacing w:after="0" w:line="360" w:lineRule="auto"/>
              <w:ind w:left="-108" w:right="-108"/>
              <w:jc w:val="center"/>
              <w:rPr>
                <w:rFonts w:ascii="Times New Roman" w:eastAsia="ArialNarrow" w:hAnsi="Times New Roman"/>
                <w:b/>
                <w:color w:val="000000"/>
                <w:sz w:val="24"/>
                <w:szCs w:val="24"/>
              </w:rPr>
            </w:pPr>
            <w:r w:rsidRPr="00AE1F53">
              <w:rPr>
                <w:rFonts w:ascii="Times New Roman" w:eastAsia="ArialNarrow" w:hAnsi="Times New Roman"/>
                <w:b/>
                <w:color w:val="000000"/>
                <w:sz w:val="24"/>
                <w:szCs w:val="24"/>
                <w:lang w:val="sv-SE"/>
              </w:rPr>
              <w:t>4,</w:t>
            </w:r>
            <w:r w:rsidRPr="00AE1F53">
              <w:rPr>
                <w:rFonts w:ascii="Times New Roman" w:eastAsia="ArialNarrow" w:hAnsi="Times New Roman"/>
                <w:b/>
                <w:color w:val="000000"/>
                <w:sz w:val="24"/>
                <w:szCs w:val="24"/>
              </w:rPr>
              <w:t>14</w:t>
            </w:r>
          </w:p>
        </w:tc>
        <w:tc>
          <w:tcPr>
            <w:tcW w:w="1156" w:type="dxa"/>
            <w:vAlign w:val="center"/>
          </w:tcPr>
          <w:p w:rsidR="005540C8" w:rsidRPr="00AE1F53" w:rsidRDefault="005540C8" w:rsidP="00CB123A">
            <w:pPr>
              <w:autoSpaceDE w:val="0"/>
              <w:autoSpaceDN w:val="0"/>
              <w:adjustRightInd w:val="0"/>
              <w:spacing w:after="0" w:line="360" w:lineRule="auto"/>
              <w:ind w:left="-108" w:right="-108"/>
              <w:jc w:val="center"/>
              <w:rPr>
                <w:rFonts w:ascii="Times New Roman" w:eastAsia="ArialNarrow" w:hAnsi="Times New Roman"/>
                <w:b/>
                <w:color w:val="000000"/>
                <w:sz w:val="24"/>
                <w:szCs w:val="24"/>
              </w:rPr>
            </w:pPr>
            <w:r w:rsidRPr="00AE1F53">
              <w:rPr>
                <w:rFonts w:ascii="Times New Roman" w:eastAsia="ArialNarrow" w:hAnsi="Times New Roman"/>
                <w:b/>
                <w:color w:val="000000"/>
                <w:sz w:val="24"/>
                <w:szCs w:val="24"/>
              </w:rPr>
              <w:t>4,15</w:t>
            </w:r>
          </w:p>
        </w:tc>
        <w:tc>
          <w:tcPr>
            <w:tcW w:w="1156" w:type="dxa"/>
            <w:vAlign w:val="center"/>
          </w:tcPr>
          <w:p w:rsidR="005540C8" w:rsidRPr="00AE1F53" w:rsidRDefault="005540C8" w:rsidP="00CB123A">
            <w:pPr>
              <w:autoSpaceDE w:val="0"/>
              <w:autoSpaceDN w:val="0"/>
              <w:adjustRightInd w:val="0"/>
              <w:spacing w:after="0" w:line="360" w:lineRule="auto"/>
              <w:ind w:left="-108" w:right="-108"/>
              <w:jc w:val="center"/>
              <w:rPr>
                <w:rFonts w:ascii="Times New Roman" w:eastAsia="ArialNarrow" w:hAnsi="Times New Roman"/>
                <w:b/>
                <w:color w:val="000000"/>
                <w:sz w:val="24"/>
                <w:szCs w:val="24"/>
              </w:rPr>
            </w:pPr>
            <w:r w:rsidRPr="00AE1F53">
              <w:rPr>
                <w:rFonts w:ascii="Times New Roman" w:eastAsia="ArialNarrow" w:hAnsi="Times New Roman"/>
                <w:b/>
                <w:color w:val="000000"/>
                <w:sz w:val="24"/>
                <w:szCs w:val="24"/>
              </w:rPr>
              <w:t>4,30</w:t>
            </w:r>
          </w:p>
        </w:tc>
      </w:tr>
    </w:tbl>
    <w:p w:rsidR="005540C8" w:rsidRPr="00AE1F53" w:rsidRDefault="00B85662" w:rsidP="00CB123A">
      <w:pPr>
        <w:spacing w:after="0" w:line="360" w:lineRule="auto"/>
        <w:ind w:left="567" w:hanging="425"/>
        <w:jc w:val="both"/>
        <w:rPr>
          <w:rFonts w:ascii="Times New Roman" w:hAnsi="Times New Roman"/>
          <w:i/>
          <w:color w:val="000000"/>
          <w:sz w:val="24"/>
          <w:szCs w:val="24"/>
        </w:rPr>
      </w:pPr>
      <w:r w:rsidRPr="00AE1F53">
        <w:rPr>
          <w:rFonts w:ascii="Times New Roman" w:hAnsi="Times New Roman"/>
          <w:i/>
          <w:color w:val="000000"/>
          <w:sz w:val="24"/>
          <w:szCs w:val="24"/>
          <w:lang w:val="en-US"/>
        </w:rPr>
        <w:t xml:space="preserve">       </w:t>
      </w:r>
      <w:r w:rsidR="005540C8" w:rsidRPr="00AE1F53">
        <w:rPr>
          <w:rFonts w:ascii="Times New Roman" w:hAnsi="Times New Roman"/>
          <w:i/>
          <w:color w:val="000000"/>
          <w:sz w:val="24"/>
          <w:szCs w:val="24"/>
        </w:rPr>
        <w:t xml:space="preserve">Sumber: Badan Pusat Statistik Kabupaten Gunungkidul </w:t>
      </w:r>
    </w:p>
    <w:p w:rsidR="005540C8" w:rsidRPr="00AE1F53" w:rsidRDefault="005540C8" w:rsidP="00CB123A">
      <w:pPr>
        <w:autoSpaceDE w:val="0"/>
        <w:autoSpaceDN w:val="0"/>
        <w:adjustRightInd w:val="0"/>
        <w:spacing w:after="0" w:line="360" w:lineRule="auto"/>
        <w:jc w:val="center"/>
        <w:rPr>
          <w:rFonts w:ascii="Times New Roman" w:eastAsia="ArialNarrow" w:hAnsi="Times New Roman"/>
          <w:b/>
          <w:color w:val="000000"/>
          <w:sz w:val="24"/>
          <w:szCs w:val="24"/>
        </w:rPr>
      </w:pPr>
    </w:p>
    <w:p w:rsidR="005540C8" w:rsidRPr="00AE1F53" w:rsidRDefault="005540C8" w:rsidP="00CB123A">
      <w:pPr>
        <w:pStyle w:val="BodyTextIndent"/>
        <w:spacing w:after="0" w:line="360" w:lineRule="auto"/>
        <w:ind w:left="0" w:firstLine="567"/>
        <w:jc w:val="both"/>
        <w:rPr>
          <w:color w:val="000000"/>
          <w:lang w:val="id-ID"/>
        </w:rPr>
      </w:pPr>
      <w:r w:rsidRPr="00AE1F53">
        <w:rPr>
          <w:color w:val="000000"/>
        </w:rPr>
        <w:lastRenderedPageBreak/>
        <w:t xml:space="preserve">Laju pertumbuhan ekonomi merupakan salah satu indikator ekonomi makro yang digunakan oleh pemerintah sebagai asumsi dasar dalam penyusunan RAPBD serta mencerminkan tingkat kesejahteraan masyarakat disuatu wilayah, yang tercermin dari </w:t>
      </w:r>
      <w:r w:rsidRPr="00AE1F53">
        <w:rPr>
          <w:color w:val="000000"/>
          <w:lang w:val="id-ID"/>
        </w:rPr>
        <w:t xml:space="preserve">kenaikan </w:t>
      </w:r>
      <w:r w:rsidRPr="00AE1F53">
        <w:rPr>
          <w:color w:val="000000"/>
        </w:rPr>
        <w:t>angka PDRB perkapita. Laju pertumbuhan ekonomi</w:t>
      </w:r>
      <w:r w:rsidRPr="00AE1F53">
        <w:rPr>
          <w:color w:val="000000"/>
          <w:lang w:val="id-ID"/>
        </w:rPr>
        <w:t xml:space="preserve"> </w:t>
      </w:r>
      <w:r w:rsidRPr="00AE1F53">
        <w:rPr>
          <w:color w:val="000000"/>
        </w:rPr>
        <w:t>suatu daerah dihitung berdasarkan nilai Produk Domestik Regional Bruto (PDRB) atas dasar harga konstan. Laju pertumbuhan ekonomi</w:t>
      </w:r>
      <w:r w:rsidRPr="00AE1F53">
        <w:rPr>
          <w:color w:val="000000"/>
          <w:lang w:val="id-ID"/>
        </w:rPr>
        <w:t xml:space="preserve"> </w:t>
      </w:r>
      <w:r w:rsidRPr="00AE1F53">
        <w:rPr>
          <w:color w:val="000000"/>
        </w:rPr>
        <w:t>Kabupaten Gunungkidul memiliki kecenderungan</w:t>
      </w:r>
      <w:r w:rsidRPr="00AE1F53">
        <w:rPr>
          <w:color w:val="000000"/>
          <w:lang w:val="id-ID"/>
        </w:rPr>
        <w:t xml:space="preserve"> naik</w:t>
      </w:r>
      <w:r w:rsidRPr="00AE1F53">
        <w:rPr>
          <w:color w:val="000000"/>
        </w:rPr>
        <w:t xml:space="preserve">. Berdasarkan </w:t>
      </w:r>
      <w:r w:rsidRPr="00AE1F53">
        <w:rPr>
          <w:i/>
          <w:color w:val="000000"/>
        </w:rPr>
        <w:t>data series</w:t>
      </w:r>
      <w:r w:rsidRPr="00AE1F53">
        <w:rPr>
          <w:color w:val="000000"/>
        </w:rPr>
        <w:t xml:space="preserve">  pada tahun 2009</w:t>
      </w:r>
      <w:r w:rsidRPr="00AE1F53">
        <w:rPr>
          <w:color w:val="000000"/>
          <w:lang w:val="id-ID"/>
        </w:rPr>
        <w:t>,</w:t>
      </w:r>
      <w:r w:rsidRPr="00AE1F53">
        <w:rPr>
          <w:color w:val="000000"/>
        </w:rPr>
        <w:t xml:space="preserve"> </w:t>
      </w:r>
      <w:r w:rsidRPr="00AE1F53">
        <w:rPr>
          <w:color w:val="000000"/>
          <w:lang w:val="id-ID"/>
        </w:rPr>
        <w:t xml:space="preserve">2010 </w:t>
      </w:r>
      <w:r w:rsidRPr="00AE1F53">
        <w:rPr>
          <w:color w:val="000000"/>
        </w:rPr>
        <w:t>dan</w:t>
      </w:r>
      <w:r w:rsidRPr="00AE1F53">
        <w:rPr>
          <w:color w:val="000000"/>
          <w:lang w:val="id-ID"/>
        </w:rPr>
        <w:t xml:space="preserve"> 2011</w:t>
      </w:r>
      <w:r w:rsidRPr="00AE1F53">
        <w:rPr>
          <w:color w:val="000000"/>
        </w:rPr>
        <w:t xml:space="preserve"> diketahui angka pertumbuhan ekonomi berkisar antara </w:t>
      </w:r>
      <w:r w:rsidRPr="00AE1F53">
        <w:rPr>
          <w:color w:val="000000"/>
          <w:lang w:val="id-ID"/>
        </w:rPr>
        <w:t xml:space="preserve"> </w:t>
      </w:r>
      <w:r w:rsidRPr="00AE1F53">
        <w:rPr>
          <w:color w:val="000000"/>
        </w:rPr>
        <w:t>4,</w:t>
      </w:r>
      <w:r w:rsidRPr="00AE1F53">
        <w:rPr>
          <w:color w:val="000000"/>
          <w:lang w:val="id-ID"/>
        </w:rPr>
        <w:t>14;</w:t>
      </w:r>
      <w:r w:rsidRPr="00AE1F53">
        <w:rPr>
          <w:color w:val="000000"/>
        </w:rPr>
        <w:t xml:space="preserve"> </w:t>
      </w:r>
      <w:r w:rsidRPr="00AE1F53">
        <w:rPr>
          <w:color w:val="000000"/>
          <w:lang w:val="id-ID"/>
        </w:rPr>
        <w:t xml:space="preserve"> 4,15; </w:t>
      </w:r>
      <w:r w:rsidRPr="00AE1F53">
        <w:rPr>
          <w:color w:val="000000"/>
        </w:rPr>
        <w:t xml:space="preserve"> </w:t>
      </w:r>
      <w:r w:rsidRPr="00AE1F53">
        <w:rPr>
          <w:color w:val="000000"/>
          <w:lang w:val="id-ID"/>
        </w:rPr>
        <w:t>d</w:t>
      </w:r>
      <w:r w:rsidRPr="00AE1F53">
        <w:rPr>
          <w:color w:val="000000"/>
        </w:rPr>
        <w:t>an</w:t>
      </w:r>
      <w:r w:rsidRPr="00AE1F53">
        <w:rPr>
          <w:color w:val="000000"/>
          <w:lang w:val="id-ID"/>
        </w:rPr>
        <w:t xml:space="preserve">  4,30.</w:t>
      </w:r>
    </w:p>
    <w:p w:rsidR="005540C8" w:rsidRPr="00AE1F53" w:rsidRDefault="005540C8" w:rsidP="00CB123A">
      <w:pPr>
        <w:pStyle w:val="BodyTextIndent"/>
        <w:spacing w:after="0" w:line="360" w:lineRule="auto"/>
        <w:ind w:left="0" w:firstLine="567"/>
        <w:jc w:val="both"/>
      </w:pPr>
      <w:r w:rsidRPr="00AE1F53">
        <w:rPr>
          <w:color w:val="000000"/>
        </w:rPr>
        <w:t>Kontribusi sektor ekonomi Kabupaten Gunungkidul paling dominan di dominasi oleh sektor pertanian. Dari sektor pertanian Kabupaten Gunungkidul  telah berhasil memberikan andil  dalam PDRB sebesar  3</w:t>
      </w:r>
      <w:r w:rsidRPr="00AE1F53">
        <w:rPr>
          <w:color w:val="000000"/>
          <w:lang w:val="id-ID"/>
        </w:rPr>
        <w:t>6</w:t>
      </w:r>
      <w:r w:rsidRPr="00AE1F53">
        <w:rPr>
          <w:color w:val="000000"/>
        </w:rPr>
        <w:t>,8</w:t>
      </w:r>
      <w:r w:rsidRPr="00AE1F53">
        <w:rPr>
          <w:color w:val="000000"/>
          <w:lang w:val="id-ID"/>
        </w:rPr>
        <w:t>4</w:t>
      </w:r>
      <w:r w:rsidRPr="00AE1F53">
        <w:rPr>
          <w:color w:val="000000"/>
        </w:rPr>
        <w:t>%, diikuti oleh sektor  Perdagangan</w:t>
      </w:r>
      <w:r w:rsidRPr="00AE1F53">
        <w:rPr>
          <w:color w:val="000000"/>
          <w:lang w:val="id-ID"/>
        </w:rPr>
        <w:t>, Hotel dan Restoran</w:t>
      </w:r>
      <w:r w:rsidRPr="00AE1F53">
        <w:rPr>
          <w:color w:val="000000"/>
        </w:rPr>
        <w:t xml:space="preserve"> yang memberikan andil  sebesar  1</w:t>
      </w:r>
      <w:r w:rsidRPr="00AE1F53">
        <w:rPr>
          <w:color w:val="000000"/>
          <w:lang w:val="id-ID"/>
        </w:rPr>
        <w:t>5</w:t>
      </w:r>
      <w:r w:rsidRPr="00AE1F53">
        <w:rPr>
          <w:color w:val="000000"/>
        </w:rPr>
        <w:t>,</w:t>
      </w:r>
      <w:r w:rsidRPr="00AE1F53">
        <w:rPr>
          <w:color w:val="000000"/>
          <w:lang w:val="id-ID"/>
        </w:rPr>
        <w:t>12</w:t>
      </w:r>
      <w:r w:rsidRPr="00AE1F53">
        <w:rPr>
          <w:color w:val="000000"/>
        </w:rPr>
        <w:t>%, dan sektor  jasa-jasa menyumbang sebesar  1</w:t>
      </w:r>
      <w:r w:rsidRPr="00AE1F53">
        <w:rPr>
          <w:color w:val="000000"/>
          <w:lang w:val="id-ID"/>
        </w:rPr>
        <w:t>3</w:t>
      </w:r>
      <w:r w:rsidRPr="00AE1F53">
        <w:rPr>
          <w:color w:val="000000"/>
        </w:rPr>
        <w:t>,</w:t>
      </w:r>
      <w:r w:rsidRPr="00AE1F53">
        <w:rPr>
          <w:color w:val="000000"/>
          <w:lang w:val="id-ID"/>
        </w:rPr>
        <w:t>64</w:t>
      </w:r>
      <w:r w:rsidRPr="00AE1F53">
        <w:rPr>
          <w:color w:val="000000"/>
        </w:rPr>
        <w:t xml:space="preserve">%.  </w:t>
      </w:r>
      <w:r w:rsidRPr="00AE1F53">
        <w:t xml:space="preserve">Adapun nilai PDRB per kapita  yang berhasil di capai adalah </w:t>
      </w:r>
      <w:r w:rsidRPr="00AE1F53">
        <w:rPr>
          <w:lang w:val="id-ID"/>
        </w:rPr>
        <w:t xml:space="preserve">Rp </w:t>
      </w:r>
      <w:r w:rsidRPr="00AE1F53">
        <w:t>10</w:t>
      </w:r>
      <w:r w:rsidRPr="00AE1F53">
        <w:rPr>
          <w:lang w:val="id-ID"/>
        </w:rPr>
        <w:t>.</w:t>
      </w:r>
      <w:r w:rsidRPr="00AE1F53">
        <w:t>540</w:t>
      </w:r>
      <w:r w:rsidRPr="00AE1F53">
        <w:rPr>
          <w:lang w:val="id-ID"/>
        </w:rPr>
        <w:t>.</w:t>
      </w:r>
      <w:r w:rsidRPr="00AE1F53">
        <w:t>248,00</w:t>
      </w:r>
      <w:r w:rsidRPr="00AE1F53">
        <w:rPr>
          <w:lang w:val="id-ID"/>
        </w:rPr>
        <w:t xml:space="preserve">, </w:t>
      </w:r>
      <w:r w:rsidRPr="00AE1F53">
        <w:t>pada tahun 20</w:t>
      </w:r>
      <w:r w:rsidRPr="00AE1F53">
        <w:rPr>
          <w:lang w:val="id-ID"/>
        </w:rPr>
        <w:t>11</w:t>
      </w:r>
      <w:r w:rsidRPr="00AE1F53">
        <w:t xml:space="preserve"> atau naik sebesar  3,89 % di banding tahun 20</w:t>
      </w:r>
      <w:r w:rsidRPr="00AE1F53">
        <w:rPr>
          <w:lang w:val="id-ID"/>
        </w:rPr>
        <w:t>10</w:t>
      </w:r>
      <w:r w:rsidRPr="00AE1F53">
        <w:t xml:space="preserve"> sebesar </w:t>
      </w:r>
      <w:r w:rsidRPr="00AE1F53">
        <w:rPr>
          <w:lang w:val="id-ID"/>
        </w:rPr>
        <w:t>Rp 9.</w:t>
      </w:r>
      <w:r w:rsidRPr="00AE1F53">
        <w:t>8</w:t>
      </w:r>
      <w:r w:rsidRPr="00AE1F53">
        <w:rPr>
          <w:lang w:val="id-ID"/>
        </w:rPr>
        <w:t>08.</w:t>
      </w:r>
      <w:r w:rsidRPr="00AE1F53">
        <w:t>6</w:t>
      </w:r>
      <w:r w:rsidRPr="00AE1F53">
        <w:rPr>
          <w:lang w:val="id-ID"/>
        </w:rPr>
        <w:t>30</w:t>
      </w:r>
      <w:r w:rsidRPr="00AE1F53">
        <w:t>,00</w:t>
      </w:r>
      <w:r w:rsidRPr="00AE1F53">
        <w:rPr>
          <w:lang w:val="id-ID"/>
        </w:rPr>
        <w:t>.</w:t>
      </w:r>
    </w:p>
    <w:p w:rsidR="0038085E" w:rsidRPr="00AE1F53" w:rsidRDefault="0038085E" w:rsidP="00CB123A">
      <w:pPr>
        <w:pStyle w:val="BodyTextIndent"/>
        <w:spacing w:after="0" w:line="360" w:lineRule="auto"/>
        <w:ind w:left="0" w:firstLine="567"/>
        <w:jc w:val="both"/>
      </w:pPr>
      <w:r w:rsidRPr="00AE1F53">
        <w:t xml:space="preserve">Meskipun sebenarnya warga lebih banyak yang melakukan paktek double kerja, yakni selain sebagai petani juga bekerja di sektor jasa, seperti dengan menjadi buruh bangunan di kota yang dilakukan dengan cara dilaju (pulang pergi), terutama ketika memasuki musim kemarau, dimana intensitas ke sawah menjadi berkurang karena minimnya air. Kondisi semacam ini yang membuat Gununkidul mengalami kemiskinan. </w:t>
      </w:r>
    </w:p>
    <w:p w:rsidR="005540C8" w:rsidRPr="00AE1F53" w:rsidRDefault="005540C8" w:rsidP="00CB123A">
      <w:pPr>
        <w:spacing w:after="0" w:line="360" w:lineRule="auto"/>
        <w:ind w:firstLine="567"/>
        <w:jc w:val="both"/>
        <w:rPr>
          <w:rFonts w:ascii="Times New Roman" w:hAnsi="Times New Roman"/>
          <w:sz w:val="24"/>
          <w:szCs w:val="24"/>
          <w:lang w:eastAsia="id-ID"/>
        </w:rPr>
      </w:pPr>
      <w:r w:rsidRPr="00AE1F53">
        <w:rPr>
          <w:rFonts w:ascii="Times New Roman" w:hAnsi="Times New Roman"/>
          <w:noProof/>
          <w:sz w:val="24"/>
          <w:szCs w:val="24"/>
        </w:rPr>
        <w:t>Sampai saat ini Gunungkidul masih ditandai oleh jumlah penduduk yang hidup di bawah garis kemiskinan dan yang rentan untuk jatuh ke bawah garis kemiskinan.</w:t>
      </w:r>
      <w:r w:rsidR="003C6116" w:rsidRPr="00AE1F53">
        <w:rPr>
          <w:rFonts w:ascii="Times New Roman" w:hAnsi="Times New Roman"/>
          <w:noProof/>
          <w:sz w:val="24"/>
          <w:szCs w:val="24"/>
          <w:lang w:val="en-US"/>
        </w:rPr>
        <w:t xml:space="preserve"> </w:t>
      </w:r>
      <w:r w:rsidRPr="00AE1F53">
        <w:rPr>
          <w:rFonts w:ascii="Times New Roman" w:hAnsi="Times New Roman"/>
          <w:sz w:val="24"/>
          <w:szCs w:val="24"/>
          <w:lang w:eastAsia="id-ID"/>
        </w:rPr>
        <w:t xml:space="preserve">Proporsi penduduk yang hidup di bawah garis kemiskinan nasional merupakan proporsi penduduk yang tingkat pendapatannya terletak di bawah garis kemiskinan nasional yang disepakati resmi pemerintah. Garis kemiskinan ini merupakan batas pendapatan yang diperlukan untuk memenuhi kebutuhan </w:t>
      </w:r>
      <w:r w:rsidRPr="00AE1F53">
        <w:rPr>
          <w:rFonts w:ascii="Times New Roman" w:hAnsi="Times New Roman"/>
          <w:sz w:val="24"/>
          <w:szCs w:val="24"/>
          <w:lang w:eastAsia="id-ID"/>
        </w:rPr>
        <w:lastRenderedPageBreak/>
        <w:t>minimal kalori yang diperlukan tubuh untuk beraktivitas, ditambah dengan kebutuhan non makanan (perumahan, pakaian, pendidikan, kesehatan, transpor dan kebutuhan pokok lainnya). Karena data pendapatan tidak tersedia, maka dipakai pendekatan data konsumsi (pengeluaran). Termasuk pengeluaran adalah perkiraan nilai barang dan jasa yang dikonsumsi berasal dari hasil produksi sendiri dan pemberian dari pihak lain. Setiap individu membutuhkan kalori untuk dapat melaksanakan kegiatan sehari-hari (Indonesia menetapkan batas minimum 2100 kkal per kapita per hari), fasilitas rumah, pakaian, pendidikan, kesehatan, transportasi dan kebutuhan pokok lainnya. Indikator ini digunakan untuk mengukur keberhasilan pemerintah dan masyarakat mengangkat kaum miskin agar hidup layak.</w:t>
      </w:r>
    </w:p>
    <w:p w:rsidR="005540C8" w:rsidRPr="00AE1F53" w:rsidRDefault="005540C8" w:rsidP="00CB123A">
      <w:pPr>
        <w:spacing w:after="0" w:line="360" w:lineRule="auto"/>
        <w:ind w:firstLine="567"/>
        <w:jc w:val="both"/>
        <w:rPr>
          <w:rFonts w:ascii="Times New Roman" w:hAnsi="Times New Roman"/>
          <w:noProof/>
          <w:color w:val="000000"/>
          <w:sz w:val="24"/>
          <w:szCs w:val="24"/>
          <w:lang w:eastAsia="id-ID"/>
        </w:rPr>
      </w:pPr>
      <w:r w:rsidRPr="00AE1F53">
        <w:rPr>
          <w:rFonts w:ascii="Times New Roman" w:hAnsi="Times New Roman"/>
          <w:sz w:val="24"/>
          <w:szCs w:val="24"/>
          <w:lang w:eastAsia="id-ID"/>
        </w:rPr>
        <w:t xml:space="preserve">Berdasarkan data Susenas (BPS) proporsi penduduk miskin di Kabupaten Gunungkidul sejak tahun 2007-2011 selama empat tahun terakhir mengalami penurunan dari tahun ke tahun dari 28,9% menjadi 22,05% , namun demikian pada tahun 2011 proporsi penduduk miskin mengalami kenaikan sebesar 0,98% dibanding tahun 2010. Kondisi yang demikian tentunya menjadi tantangan yang lebih kompleks bagi semua pihak yang berkepentingan untuk lebih memacu diri guna menurunkan jumlah penduduk miskin. </w:t>
      </w:r>
    </w:p>
    <w:p w:rsidR="005540C8" w:rsidRDefault="005540C8" w:rsidP="00CB123A">
      <w:pPr>
        <w:pStyle w:val="BodyTextIndent2"/>
        <w:spacing w:after="0" w:line="360" w:lineRule="auto"/>
        <w:ind w:left="0" w:firstLine="720"/>
        <w:jc w:val="both"/>
        <w:rPr>
          <w:rFonts w:ascii="Times New Roman" w:hAnsi="Times New Roman"/>
          <w:sz w:val="24"/>
          <w:szCs w:val="24"/>
          <w:lang w:eastAsia="id-ID"/>
        </w:rPr>
      </w:pPr>
      <w:r w:rsidRPr="00AE1F53">
        <w:rPr>
          <w:rFonts w:ascii="Times New Roman" w:hAnsi="Times New Roman"/>
          <w:sz w:val="24"/>
          <w:szCs w:val="24"/>
          <w:lang w:val="id-ID" w:eastAsia="id-ID"/>
        </w:rPr>
        <w:t xml:space="preserve">Persoalan kemiskinan bukan sekedar jumlah dan persentase penduduk miskin, tetapi juga perlu memperhatikan tingkat kedalaman dan keparahan dari kemiskinan. Selain harus mampu mengurangi jumlah penduduk miskin, kebijakan penanggulangan kemiskinan juga harus dapat menurunkan tingkat kedalaman dan keparahannya. </w:t>
      </w:r>
    </w:p>
    <w:p w:rsidR="00C10520" w:rsidRDefault="00C10520" w:rsidP="00CB123A">
      <w:pPr>
        <w:pStyle w:val="BodyTextIndent2"/>
        <w:spacing w:after="0" w:line="360" w:lineRule="auto"/>
        <w:ind w:left="0" w:firstLine="720"/>
        <w:jc w:val="both"/>
        <w:rPr>
          <w:rFonts w:ascii="Times New Roman" w:hAnsi="Times New Roman"/>
          <w:sz w:val="24"/>
          <w:szCs w:val="24"/>
          <w:lang w:eastAsia="id-ID"/>
        </w:rPr>
      </w:pPr>
    </w:p>
    <w:p w:rsidR="00C10520" w:rsidRDefault="00C10520" w:rsidP="00CB123A">
      <w:pPr>
        <w:pStyle w:val="BodyTextIndent2"/>
        <w:spacing w:after="0" w:line="360" w:lineRule="auto"/>
        <w:ind w:left="0" w:firstLine="720"/>
        <w:jc w:val="both"/>
        <w:rPr>
          <w:rFonts w:ascii="Times New Roman" w:hAnsi="Times New Roman"/>
          <w:sz w:val="24"/>
          <w:szCs w:val="24"/>
          <w:lang w:eastAsia="id-ID"/>
        </w:rPr>
      </w:pPr>
    </w:p>
    <w:p w:rsidR="00C10520" w:rsidRDefault="00C10520" w:rsidP="00CB123A">
      <w:pPr>
        <w:pStyle w:val="BodyTextIndent2"/>
        <w:spacing w:after="0" w:line="360" w:lineRule="auto"/>
        <w:ind w:left="0" w:firstLine="720"/>
        <w:jc w:val="both"/>
        <w:rPr>
          <w:rFonts w:ascii="Times New Roman" w:hAnsi="Times New Roman"/>
          <w:sz w:val="24"/>
          <w:szCs w:val="24"/>
          <w:lang w:eastAsia="id-ID"/>
        </w:rPr>
      </w:pPr>
    </w:p>
    <w:p w:rsidR="00C10520" w:rsidRDefault="00C10520" w:rsidP="00CB123A">
      <w:pPr>
        <w:pStyle w:val="BodyTextIndent2"/>
        <w:spacing w:after="0" w:line="360" w:lineRule="auto"/>
        <w:ind w:left="0" w:firstLine="720"/>
        <w:jc w:val="both"/>
        <w:rPr>
          <w:rFonts w:ascii="Times New Roman" w:hAnsi="Times New Roman"/>
          <w:sz w:val="24"/>
          <w:szCs w:val="24"/>
          <w:lang w:eastAsia="id-ID"/>
        </w:rPr>
      </w:pPr>
    </w:p>
    <w:p w:rsidR="00C10520" w:rsidRPr="00C10520" w:rsidRDefault="00C10520" w:rsidP="00CB123A">
      <w:pPr>
        <w:pStyle w:val="BodyTextIndent2"/>
        <w:spacing w:after="0" w:line="360" w:lineRule="auto"/>
        <w:ind w:left="0" w:firstLine="720"/>
        <w:jc w:val="both"/>
        <w:rPr>
          <w:rFonts w:ascii="Times New Roman" w:hAnsi="Times New Roman"/>
          <w:sz w:val="24"/>
          <w:szCs w:val="24"/>
          <w:lang w:eastAsia="id-ID"/>
        </w:rPr>
      </w:pPr>
    </w:p>
    <w:p w:rsidR="005540C8" w:rsidRPr="00AE1F53" w:rsidRDefault="005540C8" w:rsidP="00CB123A">
      <w:pPr>
        <w:pStyle w:val="BodyTextIndent2"/>
        <w:spacing w:after="0" w:line="360" w:lineRule="auto"/>
        <w:ind w:left="0" w:firstLine="851"/>
        <w:jc w:val="center"/>
        <w:rPr>
          <w:rFonts w:ascii="Times New Roman" w:hAnsi="Times New Roman"/>
          <w:bCs/>
          <w:i/>
          <w:iCs/>
          <w:sz w:val="24"/>
          <w:szCs w:val="24"/>
        </w:rPr>
      </w:pPr>
      <w:r w:rsidRPr="00AE1F53">
        <w:rPr>
          <w:rFonts w:ascii="Times New Roman" w:hAnsi="Times New Roman"/>
          <w:bCs/>
          <w:i/>
          <w:iCs/>
          <w:sz w:val="24"/>
          <w:szCs w:val="24"/>
          <w:lang w:val="id-ID"/>
        </w:rPr>
        <w:lastRenderedPageBreak/>
        <w:t xml:space="preserve">Gambar </w:t>
      </w:r>
      <w:r w:rsidR="005D21FA" w:rsidRPr="00AE1F53">
        <w:rPr>
          <w:rFonts w:ascii="Times New Roman" w:hAnsi="Times New Roman"/>
          <w:bCs/>
          <w:i/>
          <w:iCs/>
          <w:sz w:val="24"/>
          <w:szCs w:val="24"/>
        </w:rPr>
        <w:t xml:space="preserve"> 1.</w:t>
      </w:r>
    </w:p>
    <w:p w:rsidR="005540C8" w:rsidRPr="00AE1F53" w:rsidRDefault="005540C8" w:rsidP="00CB123A">
      <w:pPr>
        <w:pStyle w:val="BodyTextIndent2"/>
        <w:spacing w:after="0" w:line="360" w:lineRule="auto"/>
        <w:ind w:left="567" w:firstLine="284"/>
        <w:jc w:val="center"/>
        <w:rPr>
          <w:rFonts w:ascii="Times New Roman" w:hAnsi="Times New Roman"/>
          <w:i/>
          <w:sz w:val="24"/>
          <w:szCs w:val="24"/>
          <w:lang w:val="id-ID"/>
        </w:rPr>
      </w:pPr>
      <w:r w:rsidRPr="00AE1F53">
        <w:rPr>
          <w:rFonts w:ascii="Times New Roman" w:hAnsi="Times New Roman"/>
          <w:i/>
          <w:sz w:val="24"/>
          <w:szCs w:val="24"/>
          <w:lang w:val="id-ID"/>
        </w:rPr>
        <w:t>Indeks Kedalaman Kemiskinan (P1) dan Indeks Keparahan Kemiskinan (P2) di Kabupaten Gunungkidul Tahun 2007-2011</w:t>
      </w:r>
    </w:p>
    <w:p w:rsidR="005540C8" w:rsidRPr="00AE1F53" w:rsidRDefault="005540C8" w:rsidP="00CB123A">
      <w:pPr>
        <w:pStyle w:val="BodyTextIndent2"/>
        <w:spacing w:after="0" w:line="360" w:lineRule="auto"/>
        <w:ind w:left="851" w:firstLine="567"/>
        <w:jc w:val="both"/>
        <w:rPr>
          <w:rFonts w:ascii="Times New Roman" w:hAnsi="Times New Roman"/>
          <w:sz w:val="24"/>
          <w:szCs w:val="24"/>
          <w:lang w:val="id-ID" w:eastAsia="id-ID"/>
        </w:rPr>
      </w:pPr>
    </w:p>
    <w:p w:rsidR="005540C8" w:rsidRPr="00AE1F53" w:rsidRDefault="005540C8" w:rsidP="00354F8A">
      <w:pPr>
        <w:pStyle w:val="BodyTextIndent2"/>
        <w:spacing w:after="0" w:line="360" w:lineRule="auto"/>
        <w:ind w:left="284"/>
        <w:jc w:val="center"/>
        <w:rPr>
          <w:rFonts w:ascii="Times New Roman" w:hAnsi="Times New Roman"/>
          <w:color w:val="000000"/>
          <w:sz w:val="24"/>
          <w:szCs w:val="24"/>
          <w:lang w:val="id-ID"/>
        </w:rPr>
      </w:pPr>
      <w:r w:rsidRPr="00AE1F53">
        <w:rPr>
          <w:rFonts w:ascii="Times New Roman" w:hAnsi="Times New Roman"/>
          <w:noProof/>
          <w:color w:val="000000"/>
          <w:sz w:val="24"/>
          <w:szCs w:val="24"/>
          <w:lang w:val="id-ID" w:eastAsia="id-ID"/>
        </w:rPr>
        <w:drawing>
          <wp:inline distT="0" distB="0" distL="0" distR="0">
            <wp:extent cx="4878253" cy="3030482"/>
            <wp:effectExtent l="13001" t="6723" r="6501"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0C8" w:rsidRPr="00AE1F53" w:rsidRDefault="005540C8" w:rsidP="00CB123A">
      <w:pPr>
        <w:spacing w:after="0" w:line="360" w:lineRule="auto"/>
        <w:ind w:firstLine="720"/>
        <w:jc w:val="both"/>
        <w:rPr>
          <w:rFonts w:ascii="Times New Roman" w:hAnsi="Times New Roman"/>
          <w:sz w:val="24"/>
          <w:szCs w:val="24"/>
        </w:rPr>
      </w:pPr>
    </w:p>
    <w:p w:rsidR="005540C8" w:rsidRPr="00AE1F53" w:rsidRDefault="005540C8" w:rsidP="00CB123A">
      <w:pPr>
        <w:spacing w:after="0" w:line="360" w:lineRule="auto"/>
        <w:ind w:left="851" w:firstLine="589"/>
        <w:jc w:val="both"/>
        <w:rPr>
          <w:rFonts w:ascii="Times New Roman" w:hAnsi="Times New Roman"/>
          <w:sz w:val="24"/>
          <w:szCs w:val="24"/>
        </w:rPr>
      </w:pPr>
    </w:p>
    <w:p w:rsidR="005540C8" w:rsidRPr="00AE1F53" w:rsidRDefault="005540C8" w:rsidP="00CB123A">
      <w:pPr>
        <w:pStyle w:val="BodyTextIndent2"/>
        <w:spacing w:after="0" w:line="360" w:lineRule="auto"/>
        <w:ind w:left="0" w:firstLine="720"/>
        <w:jc w:val="both"/>
        <w:rPr>
          <w:rFonts w:ascii="Times New Roman" w:hAnsi="Times New Roman"/>
          <w:sz w:val="24"/>
          <w:szCs w:val="24"/>
          <w:lang w:val="id-ID" w:eastAsia="id-ID"/>
        </w:rPr>
      </w:pPr>
      <w:r w:rsidRPr="00AE1F53">
        <w:rPr>
          <w:rFonts w:ascii="Times New Roman" w:hAnsi="Times New Roman"/>
          <w:bCs/>
          <w:sz w:val="24"/>
          <w:szCs w:val="24"/>
          <w:lang w:eastAsia="id-ID"/>
        </w:rPr>
        <w:t>Indeks Kedalaman Kemiskinan (P1)</w:t>
      </w:r>
      <w:r w:rsidRPr="00AE1F53">
        <w:rPr>
          <w:rFonts w:ascii="Times New Roman" w:hAnsi="Times New Roman"/>
          <w:sz w:val="24"/>
          <w:szCs w:val="24"/>
          <w:lang w:eastAsia="id-ID"/>
        </w:rPr>
        <w:t xml:space="preserve"> merupakan ukuran rata-rata kesenjangan pengeluaran masing-masing penduduk miskin terhadap garis kemiskinan. Semakin tinggi nilai indeks, semakin jauh rata-rata pengeluaran penduduk dari garis kemiskinan. </w:t>
      </w:r>
      <w:r w:rsidRPr="00AE1F53">
        <w:rPr>
          <w:rFonts w:ascii="Times New Roman" w:hAnsi="Times New Roman"/>
          <w:bCs/>
          <w:sz w:val="24"/>
          <w:szCs w:val="24"/>
          <w:lang w:eastAsia="id-ID"/>
        </w:rPr>
        <w:t>Indeks Keparahan Kemiskinan (P2)</w:t>
      </w:r>
      <w:r w:rsidRPr="00AE1F53">
        <w:rPr>
          <w:rFonts w:ascii="Times New Roman" w:hAnsi="Times New Roman"/>
          <w:sz w:val="24"/>
          <w:szCs w:val="24"/>
          <w:lang w:eastAsia="id-ID"/>
        </w:rPr>
        <w:t xml:space="preserve"> memberikan gambaran mengenai penyebaran pengeluaran di antara penduduk miskin. Semakin tinggi nilai indeks, semakin tinggi ketimpangan pengeluaran di antara penduduk miskin</w:t>
      </w:r>
      <w:r w:rsidRPr="00AE1F53">
        <w:rPr>
          <w:rFonts w:ascii="Times New Roman" w:hAnsi="Times New Roman"/>
          <w:sz w:val="24"/>
          <w:szCs w:val="24"/>
          <w:lang w:val="id-ID" w:eastAsia="id-ID"/>
        </w:rPr>
        <w:t>.</w:t>
      </w:r>
    </w:p>
    <w:p w:rsidR="005540C8" w:rsidRPr="00AE1F53" w:rsidRDefault="005540C8" w:rsidP="00CB123A">
      <w:pPr>
        <w:pStyle w:val="BodyTextIndent2"/>
        <w:spacing w:after="0" w:line="360" w:lineRule="auto"/>
        <w:ind w:left="0" w:firstLine="720"/>
        <w:jc w:val="both"/>
        <w:rPr>
          <w:rFonts w:ascii="Times New Roman" w:hAnsi="Times New Roman"/>
          <w:sz w:val="24"/>
          <w:szCs w:val="24"/>
          <w:lang w:val="id-ID"/>
        </w:rPr>
      </w:pPr>
      <w:r w:rsidRPr="00AE1F53">
        <w:rPr>
          <w:rFonts w:ascii="Times New Roman" w:hAnsi="Times New Roman"/>
          <w:sz w:val="24"/>
          <w:szCs w:val="24"/>
          <w:lang w:val="id-ID"/>
        </w:rPr>
        <w:t xml:space="preserve">Indeks kedalaman kemiskinan  (P1) di Kabupaten Gunungkidul selama lima tahun terakhir menunjukkan  nilai indeks tertinggi terjadi pada tahun 2008 sebesar 5,13 sedangkan kondisi terendah terjadi pada tahun 2010 sebesar 2,89.  </w:t>
      </w:r>
      <w:r w:rsidRPr="00AE1F53">
        <w:rPr>
          <w:rFonts w:ascii="Times New Roman" w:hAnsi="Times New Roman"/>
          <w:sz w:val="24"/>
          <w:szCs w:val="24"/>
          <w:lang w:val="id-ID"/>
        </w:rPr>
        <w:lastRenderedPageBreak/>
        <w:t>Bahkan selama tiga kurun waktu menunjukkan penurunan  yaitu pada tahun 2008 ke 2009 turun sebesar 1,36 dan tahun 2009 ke tahun 2010 sebesar 0,88. Namun demikian pada tahun 2011 dibandingkan dengan tahun 2010 terjadi  kenaikan sebesar 1,16 yang mengindikasikan bahwa ada penurunan tingkat pengeluaran penduduk yang semakin menjauh dari garis kemiskinan.</w:t>
      </w:r>
    </w:p>
    <w:p w:rsidR="005540C8" w:rsidRPr="00AE1F53" w:rsidRDefault="005540C8" w:rsidP="00CB123A">
      <w:pPr>
        <w:pStyle w:val="BodyTextIndent2"/>
        <w:spacing w:after="0" w:line="360" w:lineRule="auto"/>
        <w:ind w:left="0" w:firstLine="720"/>
        <w:jc w:val="both"/>
        <w:rPr>
          <w:rFonts w:ascii="Times New Roman" w:hAnsi="Times New Roman"/>
          <w:sz w:val="24"/>
          <w:szCs w:val="24"/>
          <w:lang w:val="id-ID"/>
        </w:rPr>
      </w:pPr>
      <w:r w:rsidRPr="00AE1F53">
        <w:rPr>
          <w:rFonts w:ascii="Times New Roman" w:hAnsi="Times New Roman"/>
          <w:sz w:val="24"/>
          <w:szCs w:val="24"/>
          <w:lang w:val="id-ID"/>
        </w:rPr>
        <w:t>Kondisi yang hampir sama juga terjadi pula pada Indeks keparahan kemiskinan  (P2) selama lima tahun terakhir menunjukkan  nilai indeks tertinggi terjadi pada tahun 2008 sebesar 1,36  dan  kondisi terendah  juga terjadi pada tahun 2010 sebesar 0,57.  Selama tiga kurun waktu menunjukkan penurunan  yaitu pada tahun 2008 ke 2009 turun sebesar 0,36 dan tahun 2009 ke tahun 2010 sebesar 0,43. Namun demikian pada tahun 2010 ke tahun 2011 terjadi  kenaikan sebesar 0,41 yang mengindikasikan bahwa ada potensi peningkatan (melebarnya) ketimpangan pengeluaran penduduk miskin.</w:t>
      </w:r>
    </w:p>
    <w:p w:rsidR="005540C8" w:rsidRPr="00AE1F53" w:rsidRDefault="005540C8" w:rsidP="00CB123A">
      <w:pPr>
        <w:spacing w:after="0" w:line="360" w:lineRule="auto"/>
        <w:ind w:firstLine="720"/>
        <w:jc w:val="both"/>
        <w:rPr>
          <w:rFonts w:ascii="Times New Roman" w:hAnsi="Times New Roman"/>
          <w:sz w:val="24"/>
          <w:szCs w:val="24"/>
          <w:lang w:eastAsia="id-ID"/>
        </w:rPr>
      </w:pPr>
      <w:r w:rsidRPr="00AE1F53">
        <w:rPr>
          <w:rFonts w:ascii="Times New Roman" w:hAnsi="Times New Roman"/>
          <w:sz w:val="24"/>
          <w:szCs w:val="24"/>
          <w:lang w:eastAsia="id-ID"/>
        </w:rPr>
        <w:t>Salah satu tantangan utama dalam program-program penanggulangan kemiskinan adalah mengidentifikasi secara tepat kelompok sasaran yang akan menerima manfaat program berdasarkan kriteria keikutsertaan dan tujuan program. Efektivitas penetapan sasaran diyakini berdampak langsung terhadap keberhasilan pencapaian tujuan program perlindungan sosial dalam menanggulangi kemiskinan.</w:t>
      </w:r>
    </w:p>
    <w:p w:rsidR="005540C8" w:rsidRPr="00AE1F53" w:rsidRDefault="005D21FA" w:rsidP="00CB123A">
      <w:pPr>
        <w:spacing w:after="0" w:line="360" w:lineRule="auto"/>
        <w:ind w:firstLine="720"/>
        <w:jc w:val="both"/>
        <w:rPr>
          <w:rFonts w:ascii="Times New Roman" w:hAnsi="Times New Roman"/>
          <w:sz w:val="24"/>
          <w:szCs w:val="24"/>
          <w:lang w:eastAsia="id-ID"/>
        </w:rPr>
      </w:pPr>
      <w:r w:rsidRPr="00AE1F53">
        <w:rPr>
          <w:rFonts w:ascii="Times New Roman" w:hAnsi="Times New Roman"/>
          <w:sz w:val="24"/>
          <w:szCs w:val="24"/>
          <w:lang w:val="en-US" w:eastAsia="id-ID"/>
        </w:rPr>
        <w:t xml:space="preserve">Pemda Kabupaten Gunungkidul melalui </w:t>
      </w:r>
      <w:r w:rsidR="005540C8" w:rsidRPr="00AE1F53">
        <w:rPr>
          <w:rFonts w:ascii="Times New Roman" w:hAnsi="Times New Roman"/>
          <w:sz w:val="24"/>
          <w:szCs w:val="24"/>
          <w:lang w:eastAsia="id-ID"/>
        </w:rPr>
        <w:t xml:space="preserve">Tim Nasional Percepatan Penangguloangan Kemiskinan (TNP2K) pada tahun 2012 telah merumuskan suatu bentuk Basis Data Terpadu sebagai rujukan sasaran program  penanggulangan kemiskinan secara nasional. Inti Basis Data Terpadu mengacu pada informasi yang dihimpun melalui PPLS 2011 yang dilaksanakan oleh BPS bulan Juli 2011. Metodologi PPLS 2011 dirancang oleh BPS bekerja sama dengan TNP2K untuk mengakomodasi perbaikan terhadap beberapa pendataan serupa (PSE 2005 dan PPLS 2008). PPLS 2011 mendata jauh lebih banyak rumah tangga dari PPLS 2008 dan dilakukan perbaikan metodologi untuk memperhitungkan </w:t>
      </w:r>
      <w:r w:rsidR="005540C8" w:rsidRPr="00AE1F53">
        <w:rPr>
          <w:rFonts w:ascii="Times New Roman" w:hAnsi="Times New Roman"/>
          <w:sz w:val="24"/>
          <w:szCs w:val="24"/>
          <w:lang w:eastAsia="id-ID"/>
        </w:rPr>
        <w:lastRenderedPageBreak/>
        <w:t>karakteristik spesifik masing-masing kabupaten/kota. Selain PPLS 2011, Basis Data Terpadu juga memanfaatkan sumber informasi lain seperti karakteristik desa, kondisi sosial ekonomi masyarakat Indonesia, data kementrian/program, yang relevan untuk mengidentifikasi wilayah berdasarkan karakteristik tertentu (misalnya tingkat kemiskinan, fasilitas kesehatan, fasilitas pendidikan).</w:t>
      </w:r>
    </w:p>
    <w:p w:rsidR="005540C8" w:rsidRPr="00AE1F53" w:rsidRDefault="005540C8" w:rsidP="00CB123A">
      <w:pPr>
        <w:spacing w:after="0" w:line="360" w:lineRule="auto"/>
        <w:ind w:firstLine="720"/>
        <w:jc w:val="both"/>
        <w:rPr>
          <w:rFonts w:ascii="Times New Roman" w:hAnsi="Times New Roman"/>
          <w:sz w:val="24"/>
          <w:szCs w:val="24"/>
          <w:lang w:eastAsia="id-ID"/>
        </w:rPr>
      </w:pPr>
      <w:r w:rsidRPr="00AE1F53">
        <w:rPr>
          <w:rFonts w:ascii="Times New Roman" w:hAnsi="Times New Roman"/>
          <w:sz w:val="24"/>
          <w:szCs w:val="24"/>
          <w:lang w:eastAsia="id-ID"/>
        </w:rPr>
        <w:t xml:space="preserve">Rumahtangga yang tersimpan dalam Basis Data Terpadu diklasifikasikan kedalam 3 kelompok/desil, didasarkan pada distribusi konsumsi seluruh Rumahtangga secara Nasional </w:t>
      </w:r>
      <w:r w:rsidR="005D21FA" w:rsidRPr="00AE1F53">
        <w:rPr>
          <w:rFonts w:ascii="Times New Roman" w:hAnsi="Times New Roman"/>
          <w:sz w:val="24"/>
          <w:szCs w:val="24"/>
          <w:lang w:val="en-US" w:eastAsia="id-ID"/>
        </w:rPr>
        <w:t xml:space="preserve">sebagaimana berikut ini : (1) </w:t>
      </w:r>
      <w:r w:rsidRPr="00AE1F53">
        <w:rPr>
          <w:rFonts w:ascii="Times New Roman" w:hAnsi="Times New Roman"/>
          <w:b/>
          <w:bCs/>
          <w:sz w:val="24"/>
          <w:szCs w:val="24"/>
          <w:lang w:eastAsia="id-ID"/>
        </w:rPr>
        <w:t>Desil 1</w:t>
      </w:r>
      <w:r w:rsidRPr="00AE1F53">
        <w:rPr>
          <w:rFonts w:ascii="Times New Roman" w:hAnsi="Times New Roman"/>
          <w:sz w:val="24"/>
          <w:szCs w:val="24"/>
          <w:lang w:eastAsia="id-ID"/>
        </w:rPr>
        <w:t xml:space="preserve"> </w:t>
      </w:r>
      <w:r w:rsidR="005D21FA" w:rsidRPr="00AE1F53">
        <w:rPr>
          <w:rFonts w:ascii="Times New Roman" w:hAnsi="Times New Roman"/>
          <w:sz w:val="24"/>
          <w:szCs w:val="24"/>
          <w:lang w:val="en-US" w:eastAsia="id-ID"/>
        </w:rPr>
        <w:t xml:space="preserve">: yakni </w:t>
      </w:r>
      <w:r w:rsidRPr="00AE1F53">
        <w:rPr>
          <w:rFonts w:ascii="Times New Roman" w:hAnsi="Times New Roman"/>
          <w:sz w:val="24"/>
          <w:szCs w:val="24"/>
          <w:lang w:eastAsia="id-ID"/>
        </w:rPr>
        <w:t>rumah tangga yang termasuk dalam 10% rumah tangga dengan tingkat kesejahteraan terendah di Indonesia, atau yang biasanya disebut rumah tangga miskin.</w:t>
      </w:r>
      <w:r w:rsidR="005D21FA" w:rsidRPr="00AE1F53">
        <w:rPr>
          <w:rFonts w:ascii="Times New Roman" w:hAnsi="Times New Roman"/>
          <w:sz w:val="24"/>
          <w:szCs w:val="24"/>
          <w:lang w:val="en-US" w:eastAsia="id-ID"/>
        </w:rPr>
        <w:t xml:space="preserve"> (2) </w:t>
      </w:r>
      <w:r w:rsidRPr="00AE1F53">
        <w:rPr>
          <w:rFonts w:ascii="Times New Roman" w:hAnsi="Times New Roman"/>
          <w:b/>
          <w:bCs/>
          <w:sz w:val="24"/>
          <w:szCs w:val="24"/>
          <w:lang w:eastAsia="id-ID"/>
        </w:rPr>
        <w:t>Desil 2</w:t>
      </w:r>
      <w:r w:rsidR="005D21FA" w:rsidRPr="00AE1F53">
        <w:rPr>
          <w:rFonts w:ascii="Times New Roman" w:hAnsi="Times New Roman"/>
          <w:b/>
          <w:bCs/>
          <w:sz w:val="24"/>
          <w:szCs w:val="24"/>
          <w:lang w:val="en-US" w:eastAsia="id-ID"/>
        </w:rPr>
        <w:t xml:space="preserve">: yakni </w:t>
      </w:r>
      <w:r w:rsidRPr="00AE1F53">
        <w:rPr>
          <w:rFonts w:ascii="Times New Roman" w:hAnsi="Times New Roman"/>
          <w:sz w:val="24"/>
          <w:szCs w:val="24"/>
          <w:lang w:eastAsia="id-ID"/>
        </w:rPr>
        <w:t>rumah tangga yang termasuk dalam 11%-20% rumah tangga dengan tingkat kesejahteraan terendah di Indonesia, atau yang biasa disebut dengan rumah tangga hampir miskin.</w:t>
      </w:r>
      <w:r w:rsidR="005D21FA" w:rsidRPr="00AE1F53">
        <w:rPr>
          <w:rFonts w:ascii="Times New Roman" w:hAnsi="Times New Roman"/>
          <w:sz w:val="24"/>
          <w:szCs w:val="24"/>
          <w:lang w:val="en-US" w:eastAsia="id-ID"/>
        </w:rPr>
        <w:t xml:space="preserve"> (3) </w:t>
      </w:r>
      <w:r w:rsidRPr="00AE1F53">
        <w:rPr>
          <w:rFonts w:ascii="Times New Roman" w:hAnsi="Times New Roman"/>
          <w:b/>
          <w:bCs/>
          <w:sz w:val="24"/>
          <w:szCs w:val="24"/>
          <w:lang w:eastAsia="id-ID"/>
        </w:rPr>
        <w:t>Desil 3</w:t>
      </w:r>
      <w:r w:rsidR="005D21FA" w:rsidRPr="00AE1F53">
        <w:rPr>
          <w:rFonts w:ascii="Times New Roman" w:hAnsi="Times New Roman"/>
          <w:b/>
          <w:bCs/>
          <w:sz w:val="24"/>
          <w:szCs w:val="24"/>
          <w:lang w:val="en-US" w:eastAsia="id-ID"/>
        </w:rPr>
        <w:t xml:space="preserve">: yakni </w:t>
      </w:r>
      <w:r w:rsidRPr="00AE1F53">
        <w:rPr>
          <w:rFonts w:ascii="Times New Roman" w:hAnsi="Times New Roman"/>
          <w:sz w:val="24"/>
          <w:szCs w:val="24"/>
          <w:lang w:eastAsia="id-ID"/>
        </w:rPr>
        <w:t>rumah tangga yang termasuk dalam 21%-30% rumah tangga dengan tingkat kesejahteraan terendah di Indonesia, atau disebut juga dengan rumah tangga rentan miskin.</w:t>
      </w:r>
    </w:p>
    <w:p w:rsidR="005540C8" w:rsidRDefault="005540C8" w:rsidP="00CB123A">
      <w:pPr>
        <w:spacing w:after="0" w:line="360" w:lineRule="auto"/>
        <w:ind w:firstLine="414"/>
        <w:jc w:val="both"/>
        <w:rPr>
          <w:rFonts w:ascii="Times New Roman" w:hAnsi="Times New Roman"/>
          <w:noProof/>
          <w:sz w:val="24"/>
          <w:szCs w:val="24"/>
          <w:lang w:val="en-US"/>
        </w:rPr>
      </w:pPr>
      <w:r w:rsidRPr="00AE1F53">
        <w:rPr>
          <w:rFonts w:ascii="Times New Roman" w:hAnsi="Times New Roman"/>
          <w:sz w:val="24"/>
          <w:szCs w:val="24"/>
        </w:rPr>
        <w:t xml:space="preserve">Berdasarkan data dari TNP2K tahun 2011 jumlah rumah tangga sasaran penanggulangan kemiskian menurut </w:t>
      </w:r>
      <w:r w:rsidRPr="00AE1F53">
        <w:rPr>
          <w:rFonts w:ascii="Times New Roman" w:hAnsi="Times New Roman"/>
          <w:sz w:val="24"/>
          <w:szCs w:val="24"/>
          <w:lang w:eastAsia="id-ID"/>
        </w:rPr>
        <w:t>tingkat kesejahteraan terendah di Indonesia (</w:t>
      </w:r>
      <w:r w:rsidRPr="00AE1F53">
        <w:rPr>
          <w:rFonts w:ascii="Times New Roman" w:hAnsi="Times New Roman"/>
          <w:sz w:val="24"/>
          <w:szCs w:val="24"/>
          <w:lang w:eastAsia="id-ID"/>
        </w:rPr>
        <w:sym w:font="Symbol" w:char="F0A3"/>
      </w:r>
      <w:r w:rsidRPr="00AE1F53">
        <w:rPr>
          <w:rFonts w:ascii="Times New Roman" w:hAnsi="Times New Roman"/>
          <w:sz w:val="24"/>
          <w:szCs w:val="24"/>
          <w:lang w:eastAsia="id-ID"/>
        </w:rPr>
        <w:t xml:space="preserve"> 30%) di Kabupaten Gunungkidul sebesar 99.277 rumah tangga, dengan rincian </w:t>
      </w:r>
      <w:r w:rsidRPr="00AE1F53">
        <w:rPr>
          <w:rFonts w:ascii="Times New Roman" w:hAnsi="Times New Roman"/>
          <w:noProof/>
          <w:sz w:val="24"/>
          <w:szCs w:val="24"/>
        </w:rPr>
        <w:t>37.569 rumah tangga termasuk dalam decil 1 (miskin), 30.854 rumah tangga termasuk dalam decil 2 (hampir miskin) dan 30.854 rumah tangga termasuk dalam decil 3 (rentan miskin). Adapun sebaran data rumah tangga menurut tingkat kesejahteraan masing-masing wilayah kecamatan seperti tercantum dalam tabel 2.17.</w:t>
      </w:r>
    </w:p>
    <w:p w:rsidR="00C10520" w:rsidRDefault="00C10520" w:rsidP="00CB123A">
      <w:pPr>
        <w:spacing w:after="0" w:line="360" w:lineRule="auto"/>
        <w:ind w:firstLine="414"/>
        <w:jc w:val="both"/>
        <w:rPr>
          <w:rFonts w:ascii="Times New Roman" w:hAnsi="Times New Roman"/>
          <w:noProof/>
          <w:sz w:val="24"/>
          <w:szCs w:val="24"/>
          <w:lang w:val="en-US"/>
        </w:rPr>
      </w:pPr>
    </w:p>
    <w:p w:rsidR="00C10520" w:rsidRDefault="00C10520" w:rsidP="00CB123A">
      <w:pPr>
        <w:spacing w:after="0" w:line="360" w:lineRule="auto"/>
        <w:ind w:firstLine="414"/>
        <w:jc w:val="both"/>
        <w:rPr>
          <w:rFonts w:ascii="Times New Roman" w:hAnsi="Times New Roman"/>
          <w:noProof/>
          <w:sz w:val="24"/>
          <w:szCs w:val="24"/>
          <w:lang w:val="en-US"/>
        </w:rPr>
      </w:pPr>
    </w:p>
    <w:p w:rsidR="00C10520" w:rsidRDefault="00C10520" w:rsidP="00CB123A">
      <w:pPr>
        <w:spacing w:after="0" w:line="360" w:lineRule="auto"/>
        <w:ind w:firstLine="414"/>
        <w:jc w:val="both"/>
        <w:rPr>
          <w:rFonts w:ascii="Times New Roman" w:hAnsi="Times New Roman"/>
          <w:noProof/>
          <w:sz w:val="24"/>
          <w:szCs w:val="24"/>
          <w:lang w:val="en-US"/>
        </w:rPr>
      </w:pPr>
    </w:p>
    <w:p w:rsidR="00C10520" w:rsidRPr="00C10520" w:rsidRDefault="00C10520" w:rsidP="00CB123A">
      <w:pPr>
        <w:spacing w:after="0" w:line="360" w:lineRule="auto"/>
        <w:ind w:firstLine="414"/>
        <w:jc w:val="both"/>
        <w:rPr>
          <w:rFonts w:ascii="Times New Roman" w:hAnsi="Times New Roman"/>
          <w:sz w:val="24"/>
          <w:szCs w:val="24"/>
          <w:lang w:val="en-US"/>
        </w:rPr>
      </w:pPr>
    </w:p>
    <w:p w:rsidR="005540C8" w:rsidRPr="00AE1F53" w:rsidRDefault="005540C8" w:rsidP="00CB123A">
      <w:pPr>
        <w:autoSpaceDE w:val="0"/>
        <w:autoSpaceDN w:val="0"/>
        <w:adjustRightInd w:val="0"/>
        <w:spacing w:after="0" w:line="360" w:lineRule="auto"/>
        <w:ind w:left="720"/>
        <w:rPr>
          <w:rFonts w:ascii="Times New Roman" w:hAnsi="Times New Roman"/>
          <w:sz w:val="24"/>
          <w:szCs w:val="24"/>
          <w:lang w:eastAsia="id-ID"/>
        </w:rPr>
      </w:pPr>
    </w:p>
    <w:p w:rsidR="005540C8" w:rsidRPr="00AE1F53" w:rsidRDefault="00B85662" w:rsidP="00CB123A">
      <w:pPr>
        <w:autoSpaceDE w:val="0"/>
        <w:autoSpaceDN w:val="0"/>
        <w:adjustRightInd w:val="0"/>
        <w:spacing w:after="0" w:line="360" w:lineRule="auto"/>
        <w:ind w:left="720"/>
        <w:jc w:val="center"/>
        <w:rPr>
          <w:rFonts w:ascii="Times New Roman" w:hAnsi="Times New Roman"/>
          <w:i/>
          <w:sz w:val="24"/>
          <w:szCs w:val="24"/>
          <w:lang w:val="en-US" w:eastAsia="id-ID"/>
        </w:rPr>
      </w:pPr>
      <w:r w:rsidRPr="00AE1F53">
        <w:rPr>
          <w:rFonts w:ascii="Times New Roman" w:hAnsi="Times New Roman"/>
          <w:i/>
          <w:sz w:val="24"/>
          <w:szCs w:val="24"/>
          <w:lang w:eastAsia="id-ID"/>
        </w:rPr>
        <w:lastRenderedPageBreak/>
        <w:t xml:space="preserve">Tabel </w:t>
      </w:r>
      <w:r w:rsidRPr="00AE1F53">
        <w:rPr>
          <w:rFonts w:ascii="Times New Roman" w:hAnsi="Times New Roman"/>
          <w:i/>
          <w:sz w:val="24"/>
          <w:szCs w:val="24"/>
          <w:lang w:val="en-US" w:eastAsia="id-ID"/>
        </w:rPr>
        <w:t>3</w:t>
      </w:r>
    </w:p>
    <w:p w:rsidR="005540C8" w:rsidRPr="00AE1F53" w:rsidRDefault="005540C8" w:rsidP="00CB123A">
      <w:pPr>
        <w:tabs>
          <w:tab w:val="left" w:pos="342"/>
          <w:tab w:val="left" w:pos="709"/>
        </w:tabs>
        <w:spacing w:after="0" w:line="360" w:lineRule="auto"/>
        <w:ind w:left="709"/>
        <w:jc w:val="center"/>
        <w:rPr>
          <w:rFonts w:ascii="Times New Roman" w:hAnsi="Times New Roman"/>
          <w:bCs/>
          <w:i/>
          <w:sz w:val="24"/>
          <w:szCs w:val="24"/>
        </w:rPr>
      </w:pPr>
      <w:r w:rsidRPr="00AE1F53">
        <w:rPr>
          <w:rFonts w:ascii="Times New Roman" w:hAnsi="Times New Roman"/>
          <w:bCs/>
          <w:i/>
          <w:sz w:val="24"/>
          <w:szCs w:val="24"/>
        </w:rPr>
        <w:t xml:space="preserve">Sebaran </w:t>
      </w:r>
      <w:r w:rsidRPr="00AE1F53">
        <w:rPr>
          <w:rFonts w:ascii="Times New Roman" w:hAnsi="Times New Roman"/>
          <w:bCs/>
          <w:i/>
          <w:sz w:val="24"/>
          <w:szCs w:val="24"/>
          <w:lang w:eastAsia="id-ID"/>
        </w:rPr>
        <w:t>Status Kesejahteraan Rumah tangga</w:t>
      </w:r>
      <w:r w:rsidRPr="00AE1F53">
        <w:rPr>
          <w:rFonts w:ascii="Times New Roman" w:hAnsi="Times New Roman"/>
          <w:bCs/>
          <w:i/>
          <w:sz w:val="24"/>
          <w:szCs w:val="24"/>
        </w:rPr>
        <w:t xml:space="preserve"> di Kabupaten Gunungkidul </w:t>
      </w:r>
    </w:p>
    <w:p w:rsidR="005540C8" w:rsidRPr="00AE1F53" w:rsidRDefault="005540C8" w:rsidP="00CB123A">
      <w:pPr>
        <w:tabs>
          <w:tab w:val="left" w:pos="342"/>
          <w:tab w:val="left" w:pos="709"/>
        </w:tabs>
        <w:spacing w:after="0" w:line="360" w:lineRule="auto"/>
        <w:ind w:left="709"/>
        <w:jc w:val="center"/>
        <w:rPr>
          <w:rFonts w:ascii="Times New Roman" w:hAnsi="Times New Roman"/>
          <w:bCs/>
          <w:i/>
          <w:sz w:val="24"/>
          <w:szCs w:val="24"/>
        </w:rPr>
      </w:pPr>
      <w:r w:rsidRPr="00AE1F53">
        <w:rPr>
          <w:rFonts w:ascii="Times New Roman" w:hAnsi="Times New Roman"/>
          <w:bCs/>
          <w:i/>
          <w:sz w:val="24"/>
          <w:szCs w:val="24"/>
        </w:rPr>
        <w:t>Menurut Wilayah Kecamatan Tahun 2011</w:t>
      </w:r>
    </w:p>
    <w:p w:rsidR="005540C8" w:rsidRPr="00AE1F53" w:rsidRDefault="005540C8" w:rsidP="00CB123A">
      <w:pPr>
        <w:tabs>
          <w:tab w:val="left" w:pos="342"/>
          <w:tab w:val="left" w:pos="709"/>
        </w:tabs>
        <w:spacing w:after="0" w:line="360" w:lineRule="auto"/>
        <w:ind w:left="709"/>
        <w:jc w:val="center"/>
        <w:rPr>
          <w:rFonts w:ascii="Times New Roman" w:hAnsi="Times New Roman"/>
          <w:b/>
          <w:bCs/>
          <w:noProof/>
          <w:sz w:val="24"/>
          <w:szCs w:val="24"/>
        </w:rPr>
      </w:pPr>
    </w:p>
    <w:tbl>
      <w:tblPr>
        <w:tblW w:w="8320" w:type="dxa"/>
        <w:tblInd w:w="15" w:type="dxa"/>
        <w:tblCellMar>
          <w:left w:w="0" w:type="dxa"/>
          <w:right w:w="0" w:type="dxa"/>
        </w:tblCellMar>
        <w:tblLook w:val="04A0"/>
      </w:tblPr>
      <w:tblGrid>
        <w:gridCol w:w="560"/>
        <w:gridCol w:w="1996"/>
        <w:gridCol w:w="1544"/>
        <w:gridCol w:w="1180"/>
        <w:gridCol w:w="1520"/>
        <w:gridCol w:w="1520"/>
      </w:tblGrid>
      <w:tr w:rsidR="005540C8" w:rsidRPr="00AE1F53" w:rsidTr="00354F8A">
        <w:trPr>
          <w:trHeight w:val="483"/>
        </w:trPr>
        <w:tc>
          <w:tcPr>
            <w:tcW w:w="560" w:type="dxa"/>
            <w:vMerge w:val="restart"/>
            <w:tcBorders>
              <w:top w:val="single" w:sz="4" w:space="0" w:color="000000"/>
              <w:left w:val="single" w:sz="4" w:space="0" w:color="000000"/>
              <w:right w:val="single" w:sz="4" w:space="0" w:color="000000"/>
            </w:tcBorders>
            <w:shd w:val="clear" w:color="auto" w:fill="FFFFFF"/>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b/>
                <w:bCs/>
                <w:noProof/>
                <w:sz w:val="24"/>
                <w:szCs w:val="24"/>
              </w:rPr>
              <w:t>No</w:t>
            </w:r>
          </w:p>
        </w:tc>
        <w:tc>
          <w:tcPr>
            <w:tcW w:w="1996" w:type="dxa"/>
            <w:vMerge w:val="restart"/>
            <w:tcBorders>
              <w:top w:val="single" w:sz="4" w:space="0" w:color="000000"/>
              <w:left w:val="single" w:sz="4" w:space="0" w:color="000000"/>
              <w:right w:val="single" w:sz="4" w:space="0" w:color="000000"/>
            </w:tcBorders>
            <w:shd w:val="clear" w:color="auto" w:fill="FFFFFF"/>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b/>
                <w:bCs/>
                <w:noProof/>
                <w:sz w:val="24"/>
                <w:szCs w:val="24"/>
              </w:rPr>
              <w:t>Kecamatan</w:t>
            </w:r>
          </w:p>
        </w:tc>
        <w:tc>
          <w:tcPr>
            <w:tcW w:w="576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b/>
                <w:noProof/>
                <w:sz w:val="24"/>
                <w:szCs w:val="24"/>
              </w:rPr>
            </w:pPr>
            <w:r w:rsidRPr="00AE1F53">
              <w:rPr>
                <w:rFonts w:ascii="Times New Roman" w:hAnsi="Times New Roman"/>
                <w:b/>
                <w:sz w:val="24"/>
                <w:szCs w:val="24"/>
              </w:rPr>
              <w:t>Jumlah Rumah Tangga</w:t>
            </w:r>
          </w:p>
        </w:tc>
      </w:tr>
      <w:tr w:rsidR="005540C8" w:rsidRPr="00AE1F53" w:rsidTr="00354F8A">
        <w:trPr>
          <w:trHeight w:val="270"/>
        </w:trPr>
        <w:tc>
          <w:tcPr>
            <w:tcW w:w="560" w:type="dxa"/>
            <w:vMerge/>
            <w:tcBorders>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5540C8" w:rsidRPr="00AE1F53" w:rsidRDefault="005540C8" w:rsidP="00CB123A">
            <w:pPr>
              <w:spacing w:after="0" w:line="360" w:lineRule="auto"/>
              <w:jc w:val="both"/>
              <w:rPr>
                <w:rFonts w:ascii="Times New Roman" w:hAnsi="Times New Roman"/>
                <w:b/>
                <w:bCs/>
                <w:noProof/>
                <w:sz w:val="24"/>
                <w:szCs w:val="24"/>
              </w:rPr>
            </w:pPr>
          </w:p>
        </w:tc>
        <w:tc>
          <w:tcPr>
            <w:tcW w:w="1996" w:type="dxa"/>
            <w:vMerge/>
            <w:tcBorders>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5540C8" w:rsidRPr="00AE1F53" w:rsidRDefault="005540C8" w:rsidP="00CB123A">
            <w:pPr>
              <w:spacing w:after="0" w:line="360" w:lineRule="auto"/>
              <w:jc w:val="both"/>
              <w:rPr>
                <w:rFonts w:ascii="Times New Roman" w:hAnsi="Times New Roman"/>
                <w:b/>
                <w:bCs/>
                <w:noProof/>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b/>
                <w:bCs/>
                <w:noProof/>
                <w:sz w:val="24"/>
                <w:szCs w:val="24"/>
              </w:rPr>
            </w:pPr>
            <w:r w:rsidRPr="00AE1F53">
              <w:rPr>
                <w:rFonts w:ascii="Times New Roman" w:hAnsi="Times New Roman"/>
                <w:sz w:val="24"/>
                <w:szCs w:val="24"/>
              </w:rPr>
              <w:t>Desil 1 *</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b/>
                <w:bCs/>
                <w:noProof/>
                <w:sz w:val="24"/>
                <w:szCs w:val="24"/>
              </w:rPr>
            </w:pPr>
            <w:r w:rsidRPr="00AE1F53">
              <w:rPr>
                <w:rFonts w:ascii="Times New Roman" w:hAnsi="Times New Roman"/>
                <w:sz w:val="24"/>
                <w:szCs w:val="24"/>
              </w:rPr>
              <w:t>Desil 2 *</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b/>
                <w:bCs/>
                <w:noProof/>
                <w:sz w:val="24"/>
                <w:szCs w:val="24"/>
              </w:rPr>
            </w:pPr>
            <w:r w:rsidRPr="00AE1F53">
              <w:rPr>
                <w:rFonts w:ascii="Times New Roman" w:hAnsi="Times New Roman"/>
                <w:sz w:val="24"/>
                <w:szCs w:val="24"/>
              </w:rPr>
              <w:t>Desil 3 *</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b/>
                <w:bCs/>
                <w:noProof/>
                <w:sz w:val="24"/>
                <w:szCs w:val="24"/>
              </w:rPr>
            </w:pPr>
            <w:r w:rsidRPr="00AE1F53">
              <w:rPr>
                <w:rFonts w:ascii="Times New Roman" w:hAnsi="Times New Roman"/>
                <w:b/>
                <w:bCs/>
                <w:noProof/>
                <w:sz w:val="24"/>
                <w:szCs w:val="24"/>
              </w:rPr>
              <w:t>Total</w:t>
            </w:r>
          </w:p>
        </w:tc>
      </w:tr>
      <w:tr w:rsidR="005540C8" w:rsidRPr="00AE1F53" w:rsidTr="00354F8A">
        <w:trPr>
          <w:trHeight w:val="402"/>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1</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Semin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3.509</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2.681</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2.245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8.435</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2</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Gedangsari</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3.248</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2.612</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2.264</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8.124</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3</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Playen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2.713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2.391</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2.130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7.234</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4</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Ponjong</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2.327</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2.300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2.471</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7.098</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5</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Saptosari</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3.199</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2.123</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1.590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6.912</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6</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Karangmojo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2.672</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1.975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1.985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6.632</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7</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Wonosari</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1.756</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1.985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2.491</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6.232</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8</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Ngawen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3.098</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1.646</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1.168</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5.912</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9</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Semanu</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1.446</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1.763</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2.667</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5.876</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10</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Nglipar</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2.073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1.682</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1.525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5.280</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11</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Patuk</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1.985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1.475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1.428</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4.888</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12</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Tepus</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1.105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1.346</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1.799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4.250</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13</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Paliyan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1.414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1.285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1.422</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4.121</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14</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Panggang</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1.996</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1.181</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911</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4.088</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15</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Tanjungsari</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1.175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1.259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1.549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3.983</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16</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Rongkop</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1.058</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1.149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1.511</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3.718</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17</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Girisubo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1.513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1.169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935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3.617</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center"/>
              <w:rPr>
                <w:rFonts w:ascii="Times New Roman" w:hAnsi="Times New Roman"/>
                <w:noProof/>
                <w:sz w:val="24"/>
                <w:szCs w:val="24"/>
              </w:rPr>
            </w:pPr>
            <w:r w:rsidRPr="00AE1F53">
              <w:rPr>
                <w:rFonts w:ascii="Times New Roman" w:hAnsi="Times New Roman"/>
                <w:noProof/>
                <w:sz w:val="24"/>
                <w:szCs w:val="24"/>
              </w:rPr>
              <w:t>18</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left="138"/>
              <w:jc w:val="both"/>
              <w:rPr>
                <w:rFonts w:ascii="Times New Roman" w:hAnsi="Times New Roman"/>
                <w:noProof/>
                <w:sz w:val="24"/>
                <w:szCs w:val="24"/>
              </w:rPr>
            </w:pPr>
            <w:r w:rsidRPr="00AE1F53">
              <w:rPr>
                <w:rFonts w:ascii="Times New Roman" w:hAnsi="Times New Roman"/>
                <w:noProof/>
                <w:sz w:val="24"/>
                <w:szCs w:val="24"/>
              </w:rPr>
              <w:t>Porwosari</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1.282</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832</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763</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2.877</w:t>
            </w:r>
          </w:p>
        </w:tc>
      </w:tr>
      <w:tr w:rsidR="005540C8" w:rsidRPr="00AE1F53" w:rsidTr="00354F8A">
        <w:trPr>
          <w:trHeight w:val="3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both"/>
              <w:rPr>
                <w:rFonts w:ascii="Times New Roman" w:hAnsi="Times New Roman"/>
                <w:noProof/>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jc w:val="both"/>
              <w:rPr>
                <w:rFonts w:ascii="Times New Roman" w:hAnsi="Times New Roman"/>
                <w:noProof/>
                <w:sz w:val="24"/>
                <w:szCs w:val="24"/>
              </w:rPr>
            </w:pPr>
            <w:r w:rsidRPr="00AE1F53">
              <w:rPr>
                <w:rFonts w:ascii="Times New Roman" w:hAnsi="Times New Roman"/>
                <w:noProof/>
                <w:sz w:val="24"/>
                <w:szCs w:val="24"/>
              </w:rPr>
              <w:t>KABUPATEN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95"/>
              <w:jc w:val="right"/>
              <w:rPr>
                <w:rFonts w:ascii="Times New Roman" w:hAnsi="Times New Roman"/>
                <w:noProof/>
                <w:sz w:val="24"/>
                <w:szCs w:val="24"/>
              </w:rPr>
            </w:pPr>
            <w:r w:rsidRPr="00AE1F53">
              <w:rPr>
                <w:rFonts w:ascii="Times New Roman" w:hAnsi="Times New Roman"/>
                <w:noProof/>
                <w:sz w:val="24"/>
                <w:szCs w:val="24"/>
              </w:rPr>
              <w:t>37.569</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300"/>
              <w:jc w:val="right"/>
              <w:rPr>
                <w:rFonts w:ascii="Times New Roman" w:hAnsi="Times New Roman"/>
                <w:noProof/>
                <w:sz w:val="24"/>
                <w:szCs w:val="24"/>
              </w:rPr>
            </w:pPr>
            <w:r w:rsidRPr="00AE1F53">
              <w:rPr>
                <w:rFonts w:ascii="Times New Roman" w:hAnsi="Times New Roman"/>
                <w:noProof/>
                <w:sz w:val="24"/>
                <w:szCs w:val="24"/>
              </w:rPr>
              <w:t>30.854</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44"/>
              <w:jc w:val="right"/>
              <w:rPr>
                <w:rFonts w:ascii="Times New Roman" w:hAnsi="Times New Roman"/>
                <w:noProof/>
                <w:sz w:val="24"/>
                <w:szCs w:val="24"/>
              </w:rPr>
            </w:pPr>
            <w:r w:rsidRPr="00AE1F53">
              <w:rPr>
                <w:rFonts w:ascii="Times New Roman" w:hAnsi="Times New Roman"/>
                <w:noProof/>
                <w:sz w:val="24"/>
                <w:szCs w:val="24"/>
              </w:rPr>
              <w:t>30.854</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40C8" w:rsidRPr="00AE1F53" w:rsidRDefault="005540C8" w:rsidP="00CB123A">
            <w:pPr>
              <w:spacing w:after="0" w:line="360" w:lineRule="auto"/>
              <w:ind w:right="505"/>
              <w:jc w:val="right"/>
              <w:rPr>
                <w:rFonts w:ascii="Times New Roman" w:hAnsi="Times New Roman"/>
                <w:noProof/>
                <w:sz w:val="24"/>
                <w:szCs w:val="24"/>
              </w:rPr>
            </w:pPr>
            <w:r w:rsidRPr="00AE1F53">
              <w:rPr>
                <w:rFonts w:ascii="Times New Roman" w:hAnsi="Times New Roman"/>
                <w:noProof/>
                <w:sz w:val="24"/>
                <w:szCs w:val="24"/>
              </w:rPr>
              <w:t>99.277</w:t>
            </w:r>
          </w:p>
        </w:tc>
      </w:tr>
    </w:tbl>
    <w:p w:rsidR="005540C8" w:rsidRPr="00AE1F53" w:rsidRDefault="005540C8" w:rsidP="00CB123A">
      <w:pPr>
        <w:spacing w:after="0" w:line="360" w:lineRule="auto"/>
        <w:ind w:left="720"/>
        <w:rPr>
          <w:rFonts w:ascii="Times New Roman" w:hAnsi="Times New Roman"/>
          <w:i/>
          <w:noProof/>
          <w:sz w:val="24"/>
          <w:szCs w:val="24"/>
        </w:rPr>
      </w:pPr>
      <w:r w:rsidRPr="00AE1F53">
        <w:rPr>
          <w:rFonts w:ascii="Times New Roman" w:hAnsi="Times New Roman"/>
          <w:i/>
          <w:noProof/>
          <w:sz w:val="24"/>
          <w:szCs w:val="24"/>
        </w:rPr>
        <w:t xml:space="preserve">Sumber : </w:t>
      </w:r>
      <w:r w:rsidRPr="00AE1F53">
        <w:rPr>
          <w:rFonts w:ascii="Times New Roman" w:hAnsi="Times New Roman"/>
          <w:bCs/>
          <w:i/>
          <w:sz w:val="24"/>
          <w:szCs w:val="24"/>
          <w:lang w:eastAsia="id-ID"/>
        </w:rPr>
        <w:t>TNP2K (PPLS 2011)</w:t>
      </w:r>
    </w:p>
    <w:p w:rsidR="005540C8" w:rsidRPr="00AE1F53" w:rsidRDefault="005540C8" w:rsidP="00CB123A">
      <w:pPr>
        <w:spacing w:after="0" w:line="360" w:lineRule="auto"/>
        <w:ind w:left="1701" w:hanging="850"/>
        <w:rPr>
          <w:rFonts w:ascii="Times New Roman" w:hAnsi="Times New Roman"/>
          <w:b/>
          <w:bCs/>
          <w:color w:val="000000"/>
          <w:sz w:val="24"/>
          <w:szCs w:val="24"/>
          <w:lang w:eastAsia="id-ID"/>
        </w:rPr>
      </w:pPr>
      <w:r w:rsidRPr="00AE1F53">
        <w:rPr>
          <w:rFonts w:ascii="Times New Roman" w:hAnsi="Times New Roman"/>
          <w:b/>
          <w:bCs/>
          <w:color w:val="000000"/>
          <w:sz w:val="24"/>
          <w:szCs w:val="24"/>
          <w:lang w:eastAsia="id-ID"/>
        </w:rPr>
        <w:lastRenderedPageBreak/>
        <w:t>Catatan :</w:t>
      </w:r>
    </w:p>
    <w:p w:rsidR="005540C8" w:rsidRPr="00AE1F53" w:rsidRDefault="005540C8" w:rsidP="00CB123A">
      <w:pPr>
        <w:spacing w:after="0" w:line="360" w:lineRule="auto"/>
        <w:ind w:left="1701" w:hanging="850"/>
        <w:jc w:val="both"/>
        <w:rPr>
          <w:rFonts w:ascii="Times New Roman" w:hAnsi="Times New Roman"/>
          <w:i/>
          <w:iCs/>
          <w:color w:val="000000"/>
          <w:sz w:val="24"/>
          <w:szCs w:val="24"/>
          <w:lang w:eastAsia="id-ID"/>
        </w:rPr>
      </w:pPr>
      <w:r w:rsidRPr="00AE1F53">
        <w:rPr>
          <w:rFonts w:ascii="Times New Roman" w:hAnsi="Times New Roman"/>
          <w:color w:val="000000"/>
          <w:sz w:val="24"/>
          <w:szCs w:val="24"/>
          <w:lang w:eastAsia="id-ID"/>
        </w:rPr>
        <w:t xml:space="preserve">Desil 1 : </w:t>
      </w:r>
      <w:r w:rsidRPr="00AE1F53">
        <w:rPr>
          <w:rFonts w:ascii="Times New Roman" w:hAnsi="Times New Roman"/>
          <w:i/>
          <w:iCs/>
          <w:color w:val="000000"/>
          <w:sz w:val="24"/>
          <w:szCs w:val="24"/>
          <w:lang w:eastAsia="id-ID"/>
        </w:rPr>
        <w:t>Rumah Tangga/Individu dengan kondisi kesejahteraan sampai dengan 10% terendah di Indonesia</w:t>
      </w:r>
    </w:p>
    <w:p w:rsidR="005540C8" w:rsidRPr="00AE1F53" w:rsidRDefault="005540C8" w:rsidP="00CB123A">
      <w:pPr>
        <w:spacing w:after="0" w:line="360" w:lineRule="auto"/>
        <w:ind w:left="1701" w:hanging="850"/>
        <w:rPr>
          <w:rFonts w:ascii="Times New Roman" w:hAnsi="Times New Roman"/>
          <w:i/>
          <w:iCs/>
          <w:color w:val="000000"/>
          <w:sz w:val="24"/>
          <w:szCs w:val="24"/>
          <w:lang w:eastAsia="id-ID"/>
        </w:rPr>
      </w:pPr>
      <w:r w:rsidRPr="00AE1F53">
        <w:rPr>
          <w:rFonts w:ascii="Times New Roman" w:hAnsi="Times New Roman"/>
          <w:color w:val="000000"/>
          <w:sz w:val="24"/>
          <w:szCs w:val="24"/>
          <w:lang w:eastAsia="id-ID"/>
        </w:rPr>
        <w:t xml:space="preserve">Desil 2 : </w:t>
      </w:r>
      <w:r w:rsidRPr="00AE1F53">
        <w:rPr>
          <w:rFonts w:ascii="Times New Roman" w:hAnsi="Times New Roman"/>
          <w:i/>
          <w:iCs/>
          <w:color w:val="000000"/>
          <w:sz w:val="24"/>
          <w:szCs w:val="24"/>
          <w:lang w:eastAsia="id-ID"/>
        </w:rPr>
        <w:t>Rumah Tangga/Individu dengan kondisi kesejahteraan antara 11% - 20% terendah di Indonesia</w:t>
      </w:r>
    </w:p>
    <w:p w:rsidR="005540C8" w:rsidRPr="00AE1F53" w:rsidRDefault="005540C8" w:rsidP="00CB123A">
      <w:pPr>
        <w:spacing w:after="0" w:line="360" w:lineRule="auto"/>
        <w:ind w:left="1701" w:hanging="850"/>
        <w:rPr>
          <w:rFonts w:ascii="Times New Roman" w:hAnsi="Times New Roman"/>
          <w:color w:val="000000"/>
          <w:sz w:val="24"/>
          <w:szCs w:val="24"/>
          <w:lang w:eastAsia="id-ID"/>
        </w:rPr>
      </w:pPr>
      <w:r w:rsidRPr="00AE1F53">
        <w:rPr>
          <w:rFonts w:ascii="Times New Roman" w:hAnsi="Times New Roman"/>
          <w:color w:val="000000"/>
          <w:sz w:val="24"/>
          <w:szCs w:val="24"/>
          <w:lang w:eastAsia="id-ID"/>
        </w:rPr>
        <w:t xml:space="preserve">Desil 3 : </w:t>
      </w:r>
      <w:r w:rsidRPr="00AE1F53">
        <w:rPr>
          <w:rFonts w:ascii="Times New Roman" w:hAnsi="Times New Roman"/>
          <w:i/>
          <w:iCs/>
          <w:color w:val="000000"/>
          <w:sz w:val="24"/>
          <w:szCs w:val="24"/>
          <w:lang w:eastAsia="id-ID"/>
        </w:rPr>
        <w:t>Rumah Tangga/Individu dengan kondisi kesejahteraan antara 21% - 30% terendah di Indonesia</w:t>
      </w:r>
    </w:p>
    <w:p w:rsidR="005540C8" w:rsidRPr="00AE1F53" w:rsidRDefault="005540C8" w:rsidP="00CB123A">
      <w:pPr>
        <w:spacing w:after="0" w:line="360" w:lineRule="auto"/>
        <w:jc w:val="center"/>
        <w:rPr>
          <w:rFonts w:ascii="Times New Roman" w:hAnsi="Times New Roman"/>
          <w:b/>
          <w:sz w:val="24"/>
          <w:szCs w:val="24"/>
        </w:rPr>
      </w:pPr>
    </w:p>
    <w:p w:rsidR="003C6116" w:rsidRPr="00AE1F53" w:rsidRDefault="003C6116" w:rsidP="00CB123A">
      <w:pPr>
        <w:pStyle w:val="ListParagraph"/>
        <w:numPr>
          <w:ilvl w:val="0"/>
          <w:numId w:val="13"/>
        </w:numPr>
        <w:spacing w:after="0" w:line="360" w:lineRule="auto"/>
        <w:ind w:left="360"/>
        <w:jc w:val="both"/>
        <w:rPr>
          <w:rFonts w:ascii="Times New Roman" w:hAnsi="Times New Roman"/>
          <w:b/>
          <w:sz w:val="24"/>
          <w:szCs w:val="24"/>
        </w:rPr>
      </w:pPr>
      <w:r w:rsidRPr="00AE1F53">
        <w:rPr>
          <w:rFonts w:ascii="Times New Roman" w:hAnsi="Times New Roman"/>
          <w:b/>
          <w:sz w:val="24"/>
          <w:szCs w:val="24"/>
          <w:lang w:val="en-US"/>
        </w:rPr>
        <w:t>Kebijakan Pembangunan di Kabupaten Gunungkidul</w:t>
      </w:r>
      <w:r w:rsidR="00BE475A" w:rsidRPr="00AE1F53">
        <w:rPr>
          <w:rStyle w:val="FootnoteReference"/>
          <w:rFonts w:ascii="Times New Roman" w:hAnsi="Times New Roman"/>
          <w:b/>
          <w:sz w:val="24"/>
          <w:szCs w:val="24"/>
          <w:lang w:val="en-US"/>
        </w:rPr>
        <w:footnoteReference w:id="2"/>
      </w:r>
    </w:p>
    <w:p w:rsidR="005540C8" w:rsidRPr="00AE1F53" w:rsidRDefault="00D7205D" w:rsidP="00CB123A">
      <w:pPr>
        <w:spacing w:after="0" w:line="360" w:lineRule="auto"/>
        <w:ind w:firstLine="720"/>
        <w:jc w:val="both"/>
        <w:rPr>
          <w:rFonts w:ascii="Times New Roman" w:hAnsi="Times New Roman"/>
          <w:sz w:val="24"/>
          <w:szCs w:val="24"/>
        </w:rPr>
      </w:pPr>
      <w:r w:rsidRPr="00AE1F53">
        <w:rPr>
          <w:rFonts w:ascii="Times New Roman" w:hAnsi="Times New Roman"/>
          <w:sz w:val="24"/>
          <w:szCs w:val="24"/>
          <w:lang w:val="en-US"/>
        </w:rPr>
        <w:t>Dengan memperhatikan masih tingginya angka kemiskinan, khususnya rumah tangga miskin, Pemda Kabupaten Gunungkidul berupa keras untuk merumuskan kebijakan pembangunan yang mampu mengatasi permasalahan utama tersebut. Pemda Gun</w:t>
      </w:r>
      <w:r w:rsidR="00BE475A" w:rsidRPr="00AE1F53">
        <w:rPr>
          <w:rFonts w:ascii="Times New Roman" w:hAnsi="Times New Roman"/>
          <w:sz w:val="24"/>
          <w:szCs w:val="24"/>
          <w:lang w:val="en-US"/>
        </w:rPr>
        <w:t>un</w:t>
      </w:r>
      <w:r w:rsidRPr="00AE1F53">
        <w:rPr>
          <w:rFonts w:ascii="Times New Roman" w:hAnsi="Times New Roman"/>
          <w:sz w:val="24"/>
          <w:szCs w:val="24"/>
          <w:lang w:val="en-US"/>
        </w:rPr>
        <w:t>gkidul berpandangan bahwasannya k</w:t>
      </w:r>
      <w:r w:rsidR="005540C8" w:rsidRPr="00AE1F53">
        <w:rPr>
          <w:rFonts w:ascii="Times New Roman" w:hAnsi="Times New Roman"/>
          <w:sz w:val="24"/>
          <w:szCs w:val="24"/>
        </w:rPr>
        <w:t xml:space="preserve">egiatan-kegiatan pembangunan harus dapat berjalan selaras dengan kebutuhan dan potensi daerah sehingga secara utuh dapat mengembalikan kondisi sosial, politik, ekonomi, budaya dan keamanan/ketertiban ke kondisi sebelum krisis. Disamping </w:t>
      </w:r>
      <w:r w:rsidRPr="00AE1F53">
        <w:rPr>
          <w:rFonts w:ascii="Times New Roman" w:hAnsi="Times New Roman"/>
          <w:sz w:val="24"/>
          <w:szCs w:val="24"/>
          <w:lang w:val="en-US"/>
        </w:rPr>
        <w:t xml:space="preserve">itu, juga harus </w:t>
      </w:r>
      <w:r w:rsidR="005540C8" w:rsidRPr="00AE1F53">
        <w:rPr>
          <w:rFonts w:ascii="Times New Roman" w:hAnsi="Times New Roman"/>
          <w:sz w:val="24"/>
          <w:szCs w:val="24"/>
        </w:rPr>
        <w:t>memberikan perhatian khusus terhadap terciptanya ketahanan ekonomi rakyat, kemandirian daerah, kelestarian dan keseimbangan lingkungan, serta menetralisir dampak-dampak negatif terjadinya krisis ekonomi politik di daerah. Secara khusus juga perlu diupayakan adanya keserasian laju pembangunan dan pemerataan hasil-hasilnya sehingga dapat dihindarkan melebarnya kesenjangan sosial dan perbedaan tingkat pembangunan antar wilayah dan antar individu atau kelompok masyarakat.</w:t>
      </w:r>
    </w:p>
    <w:p w:rsidR="005540C8" w:rsidRPr="00AE1F53" w:rsidRDefault="00D7205D" w:rsidP="00BE475A">
      <w:pPr>
        <w:spacing w:after="0" w:line="360" w:lineRule="auto"/>
        <w:ind w:firstLine="720"/>
        <w:jc w:val="both"/>
        <w:rPr>
          <w:rFonts w:ascii="Times New Roman" w:hAnsi="Times New Roman"/>
          <w:sz w:val="24"/>
          <w:szCs w:val="24"/>
        </w:rPr>
      </w:pPr>
      <w:r w:rsidRPr="00AE1F53">
        <w:rPr>
          <w:rFonts w:ascii="Times New Roman" w:hAnsi="Times New Roman"/>
          <w:sz w:val="24"/>
          <w:szCs w:val="24"/>
          <w:lang w:val="en-US"/>
        </w:rPr>
        <w:t>Dalam konteks ini maka k</w:t>
      </w:r>
      <w:r w:rsidR="005540C8" w:rsidRPr="00AE1F53">
        <w:rPr>
          <w:rFonts w:ascii="Times New Roman" w:hAnsi="Times New Roman"/>
          <w:sz w:val="24"/>
          <w:szCs w:val="24"/>
        </w:rPr>
        <w:t xml:space="preserve">ebijakan penanggulangan kemiskinan </w:t>
      </w:r>
      <w:r w:rsidR="00BE475A" w:rsidRPr="00AE1F53">
        <w:rPr>
          <w:rFonts w:ascii="Times New Roman" w:hAnsi="Times New Roman"/>
          <w:sz w:val="24"/>
          <w:szCs w:val="24"/>
          <w:lang w:val="en-US"/>
        </w:rPr>
        <w:t xml:space="preserve">perlu untuk </w:t>
      </w:r>
      <w:r w:rsidR="005540C8" w:rsidRPr="00AE1F53">
        <w:rPr>
          <w:rFonts w:ascii="Times New Roman" w:hAnsi="Times New Roman"/>
          <w:sz w:val="24"/>
          <w:szCs w:val="24"/>
        </w:rPr>
        <w:t>bertumpu pada kebijakan publik yang berpihak kepada orang miskin (</w:t>
      </w:r>
      <w:r w:rsidR="005540C8" w:rsidRPr="00AE1F53">
        <w:rPr>
          <w:rFonts w:ascii="Times New Roman" w:hAnsi="Times New Roman"/>
          <w:i/>
          <w:iCs/>
          <w:sz w:val="24"/>
          <w:szCs w:val="24"/>
        </w:rPr>
        <w:t>pro-</w:t>
      </w:r>
      <w:r w:rsidR="005540C8" w:rsidRPr="00AE1F53">
        <w:rPr>
          <w:rFonts w:ascii="Times New Roman" w:hAnsi="Times New Roman"/>
          <w:i/>
          <w:iCs/>
          <w:sz w:val="24"/>
          <w:szCs w:val="24"/>
        </w:rPr>
        <w:lastRenderedPageBreak/>
        <w:t>poor policy</w:t>
      </w:r>
      <w:r w:rsidR="005540C8" w:rsidRPr="00AE1F53">
        <w:rPr>
          <w:rFonts w:ascii="Times New Roman" w:hAnsi="Times New Roman"/>
          <w:sz w:val="24"/>
          <w:szCs w:val="24"/>
        </w:rPr>
        <w:t>), kebijakan yang berpihak kepada orang miskin tersebut harus diterjemahkan dalam pembangunan yang berpihak kepada orang miskin (</w:t>
      </w:r>
      <w:r w:rsidR="005540C8" w:rsidRPr="00AE1F53">
        <w:rPr>
          <w:rFonts w:ascii="Times New Roman" w:hAnsi="Times New Roman"/>
          <w:i/>
          <w:iCs/>
          <w:sz w:val="24"/>
          <w:szCs w:val="24"/>
        </w:rPr>
        <w:t>pro-poor development</w:t>
      </w:r>
      <w:r w:rsidR="005540C8" w:rsidRPr="00AE1F53">
        <w:rPr>
          <w:rFonts w:ascii="Times New Roman" w:hAnsi="Times New Roman"/>
          <w:sz w:val="24"/>
          <w:szCs w:val="24"/>
        </w:rPr>
        <w:t>) dan pertumbuhan ekonomi yang berpihak kepada orang miskin (</w:t>
      </w:r>
      <w:r w:rsidR="005540C8" w:rsidRPr="00AE1F53">
        <w:rPr>
          <w:rFonts w:ascii="Times New Roman" w:hAnsi="Times New Roman"/>
          <w:i/>
          <w:iCs/>
          <w:sz w:val="24"/>
          <w:szCs w:val="24"/>
        </w:rPr>
        <w:t>pro-poor growth</w:t>
      </w:r>
      <w:r w:rsidR="005540C8" w:rsidRPr="00AE1F53">
        <w:rPr>
          <w:rFonts w:ascii="Times New Roman" w:hAnsi="Times New Roman"/>
          <w:sz w:val="24"/>
          <w:szCs w:val="24"/>
        </w:rPr>
        <w:t>)</w:t>
      </w:r>
      <w:r w:rsidRPr="00AE1F53">
        <w:rPr>
          <w:rFonts w:ascii="Times New Roman" w:hAnsi="Times New Roman"/>
          <w:sz w:val="24"/>
          <w:szCs w:val="24"/>
          <w:lang w:val="en-US"/>
        </w:rPr>
        <w:t xml:space="preserve"> sebagaimana yang dicanangkan oleh pemerintah pusat</w:t>
      </w:r>
      <w:r w:rsidR="005540C8" w:rsidRPr="00AE1F53">
        <w:rPr>
          <w:rFonts w:ascii="Times New Roman" w:hAnsi="Times New Roman"/>
          <w:sz w:val="24"/>
          <w:szCs w:val="24"/>
        </w:rPr>
        <w:t xml:space="preserve">. </w:t>
      </w:r>
      <w:r w:rsidRPr="00AE1F53">
        <w:rPr>
          <w:rFonts w:ascii="Times New Roman" w:hAnsi="Times New Roman"/>
          <w:sz w:val="24"/>
          <w:szCs w:val="24"/>
          <w:lang w:val="en-US"/>
        </w:rPr>
        <w:t xml:space="preserve"> Untuk itulah perlu ada  </w:t>
      </w:r>
      <w:r w:rsidR="005540C8" w:rsidRPr="00AE1F53">
        <w:rPr>
          <w:rFonts w:ascii="Times New Roman" w:hAnsi="Times New Roman"/>
          <w:sz w:val="24"/>
          <w:szCs w:val="24"/>
        </w:rPr>
        <w:t xml:space="preserve">sinkronisasi kebijakan makro strategis dengan makro operasional </w:t>
      </w:r>
      <w:r w:rsidR="005540C8" w:rsidRPr="00AE1F53">
        <w:rPr>
          <w:rFonts w:ascii="Times New Roman" w:hAnsi="Times New Roman"/>
          <w:i/>
          <w:iCs/>
          <w:sz w:val="24"/>
          <w:szCs w:val="24"/>
        </w:rPr>
        <w:t>(program utama</w:t>
      </w:r>
      <w:r w:rsidR="005540C8" w:rsidRPr="00AE1F53">
        <w:rPr>
          <w:rFonts w:ascii="Times New Roman" w:hAnsi="Times New Roman"/>
          <w:sz w:val="24"/>
          <w:szCs w:val="24"/>
        </w:rPr>
        <w:t xml:space="preserve">) dan kebijakan mikro strategis </w:t>
      </w:r>
      <w:r w:rsidR="005540C8" w:rsidRPr="00AE1F53">
        <w:rPr>
          <w:rFonts w:ascii="Times New Roman" w:hAnsi="Times New Roman"/>
          <w:i/>
          <w:iCs/>
          <w:sz w:val="24"/>
          <w:szCs w:val="24"/>
        </w:rPr>
        <w:t>(program)</w:t>
      </w:r>
      <w:r w:rsidR="005540C8" w:rsidRPr="00AE1F53">
        <w:rPr>
          <w:rFonts w:ascii="Times New Roman" w:hAnsi="Times New Roman"/>
          <w:sz w:val="24"/>
          <w:szCs w:val="24"/>
        </w:rPr>
        <w:t xml:space="preserve"> dengan mikro operasional </w:t>
      </w:r>
      <w:r w:rsidR="005540C8" w:rsidRPr="00AE1F53">
        <w:rPr>
          <w:rFonts w:ascii="Times New Roman" w:hAnsi="Times New Roman"/>
          <w:i/>
          <w:iCs/>
          <w:sz w:val="24"/>
          <w:szCs w:val="24"/>
        </w:rPr>
        <w:t>(proyek).</w:t>
      </w:r>
      <w:r w:rsidR="005540C8" w:rsidRPr="00AE1F53">
        <w:rPr>
          <w:rFonts w:ascii="Times New Roman" w:hAnsi="Times New Roman"/>
          <w:sz w:val="24"/>
          <w:szCs w:val="24"/>
        </w:rPr>
        <w:t xml:space="preserve"> Kebijakan makro strategis, makro operasional, dan mikro strategis ini sebagai acuan penanggulangan kemis</w:t>
      </w:r>
      <w:r w:rsidRPr="00AE1F53">
        <w:rPr>
          <w:rFonts w:ascii="Times New Roman" w:hAnsi="Times New Roman"/>
          <w:sz w:val="24"/>
          <w:szCs w:val="24"/>
          <w:lang w:val="en-US"/>
        </w:rPr>
        <w:t>k</w:t>
      </w:r>
      <w:r w:rsidR="005540C8" w:rsidRPr="00AE1F53">
        <w:rPr>
          <w:rFonts w:ascii="Times New Roman" w:hAnsi="Times New Roman"/>
          <w:sz w:val="24"/>
          <w:szCs w:val="24"/>
        </w:rPr>
        <w:t xml:space="preserve">inan yang dilakukan oleh pemerintah pusat dan daerah, dunia usaha, organisasi non-pemerintah dan komponen masyarakat lainnya. </w:t>
      </w:r>
      <w:r w:rsidRPr="00AE1F53">
        <w:rPr>
          <w:rFonts w:ascii="Times New Roman" w:hAnsi="Times New Roman"/>
          <w:sz w:val="24"/>
          <w:szCs w:val="24"/>
          <w:lang w:val="en-US"/>
        </w:rPr>
        <w:t>Berangkat dari pemikiran di</w:t>
      </w:r>
      <w:r w:rsidR="00BE475A" w:rsidRPr="00AE1F53">
        <w:rPr>
          <w:rFonts w:ascii="Times New Roman" w:hAnsi="Times New Roman"/>
          <w:sz w:val="24"/>
          <w:szCs w:val="24"/>
          <w:lang w:val="en-US"/>
        </w:rPr>
        <w:t xml:space="preserve"> </w:t>
      </w:r>
      <w:r w:rsidRPr="00AE1F53">
        <w:rPr>
          <w:rFonts w:ascii="Times New Roman" w:hAnsi="Times New Roman"/>
          <w:sz w:val="24"/>
          <w:szCs w:val="24"/>
          <w:lang w:val="en-US"/>
        </w:rPr>
        <w:t>atas Pemda Gunungkidul berharap nantinya</w:t>
      </w:r>
      <w:r w:rsidR="005540C8" w:rsidRPr="00AE1F53">
        <w:rPr>
          <w:rFonts w:ascii="Times New Roman" w:hAnsi="Times New Roman"/>
          <w:sz w:val="24"/>
          <w:szCs w:val="24"/>
        </w:rPr>
        <w:t xml:space="preserve"> akan mendorong tumbuh dan berkembangnya gerakan aliansi strategis berbagai kelembagaan yang peduli dan bersama perjuangan kelompok miskin untuk bersama-sama menumbuhkembangkan </w:t>
      </w:r>
      <w:r w:rsidR="005540C8" w:rsidRPr="00AE1F53">
        <w:rPr>
          <w:rFonts w:ascii="Times New Roman" w:hAnsi="Times New Roman"/>
          <w:b/>
          <w:bCs/>
          <w:sz w:val="24"/>
          <w:szCs w:val="24"/>
        </w:rPr>
        <w:t xml:space="preserve">“Gerakan Bersama” </w:t>
      </w:r>
      <w:r w:rsidR="005540C8" w:rsidRPr="00AE1F53">
        <w:rPr>
          <w:rFonts w:ascii="Times New Roman" w:hAnsi="Times New Roman"/>
          <w:sz w:val="24"/>
          <w:szCs w:val="24"/>
        </w:rPr>
        <w:t>Penanggulangan Kemiskinan.</w:t>
      </w:r>
    </w:p>
    <w:p w:rsidR="009B242A" w:rsidRPr="00AE1F53" w:rsidRDefault="009B242A" w:rsidP="00CB123A">
      <w:pPr>
        <w:spacing w:after="0" w:line="360" w:lineRule="auto"/>
        <w:jc w:val="both"/>
        <w:rPr>
          <w:rFonts w:ascii="Times New Roman" w:hAnsi="Times New Roman"/>
          <w:color w:val="000000" w:themeColor="text1"/>
          <w:sz w:val="24"/>
          <w:szCs w:val="24"/>
          <w:lang w:val="en-US" w:eastAsia="id-ID"/>
        </w:rPr>
      </w:pPr>
      <w:r w:rsidRPr="00AE1F53">
        <w:rPr>
          <w:rFonts w:ascii="Times New Roman" w:hAnsi="Times New Roman"/>
          <w:sz w:val="24"/>
          <w:szCs w:val="24"/>
          <w:lang w:val="en-US"/>
        </w:rPr>
        <w:tab/>
        <w:t xml:space="preserve">Dalam konteks inilah kebijakan pembangunan dalam rangka </w:t>
      </w:r>
      <w:r w:rsidR="005540C8" w:rsidRPr="00AE1F53">
        <w:rPr>
          <w:rFonts w:ascii="Times New Roman" w:hAnsi="Times New Roman"/>
          <w:sz w:val="24"/>
          <w:szCs w:val="24"/>
          <w:lang w:eastAsia="id-ID"/>
        </w:rPr>
        <w:t xml:space="preserve">penanggulangan kemiskinan yang komprehensif dan mewujudkan percepatan penanggulangan kemiskinan </w:t>
      </w:r>
      <w:r w:rsidR="00BE475A" w:rsidRPr="00AE1F53">
        <w:rPr>
          <w:rFonts w:ascii="Times New Roman" w:hAnsi="Times New Roman"/>
          <w:sz w:val="24"/>
          <w:szCs w:val="24"/>
          <w:lang w:val="en-US" w:eastAsia="id-ID"/>
        </w:rPr>
        <w:t xml:space="preserve">oleh Pemda Gunungkidul </w:t>
      </w:r>
      <w:r w:rsidR="005540C8" w:rsidRPr="00AE1F53">
        <w:rPr>
          <w:rFonts w:ascii="Times New Roman" w:hAnsi="Times New Roman"/>
          <w:sz w:val="24"/>
          <w:szCs w:val="24"/>
          <w:lang w:eastAsia="id-ID"/>
        </w:rPr>
        <w:t xml:space="preserve">dirumuskan </w:t>
      </w:r>
      <w:r w:rsidR="00BE475A" w:rsidRPr="00AE1F53">
        <w:rPr>
          <w:rFonts w:ascii="Times New Roman" w:hAnsi="Times New Roman"/>
          <w:sz w:val="24"/>
          <w:szCs w:val="24"/>
          <w:lang w:val="en-US" w:eastAsia="id-ID"/>
        </w:rPr>
        <w:t xml:space="preserve">kedalam </w:t>
      </w:r>
      <w:r w:rsidR="00BE475A" w:rsidRPr="00AE1F53">
        <w:rPr>
          <w:rFonts w:ascii="Times New Roman" w:hAnsi="Times New Roman"/>
          <w:sz w:val="24"/>
          <w:szCs w:val="24"/>
          <w:lang w:eastAsia="id-ID"/>
        </w:rPr>
        <w:t>empat st</w:t>
      </w:r>
      <w:r w:rsidR="005540C8" w:rsidRPr="00AE1F53">
        <w:rPr>
          <w:rFonts w:ascii="Times New Roman" w:hAnsi="Times New Roman"/>
          <w:sz w:val="24"/>
          <w:szCs w:val="24"/>
          <w:lang w:eastAsia="id-ID"/>
        </w:rPr>
        <w:t>r</w:t>
      </w:r>
      <w:r w:rsidR="00BE475A" w:rsidRPr="00AE1F53">
        <w:rPr>
          <w:rFonts w:ascii="Times New Roman" w:hAnsi="Times New Roman"/>
          <w:sz w:val="24"/>
          <w:szCs w:val="24"/>
          <w:lang w:val="en-US" w:eastAsia="id-ID"/>
        </w:rPr>
        <w:t>a</w:t>
      </w:r>
      <w:r w:rsidR="005540C8" w:rsidRPr="00AE1F53">
        <w:rPr>
          <w:rFonts w:ascii="Times New Roman" w:hAnsi="Times New Roman"/>
          <w:sz w:val="24"/>
          <w:szCs w:val="24"/>
          <w:lang w:eastAsia="id-ID"/>
        </w:rPr>
        <w:t>tegi utama.</w:t>
      </w:r>
      <w:r w:rsidR="00BE475A" w:rsidRPr="00AE1F53">
        <w:rPr>
          <w:rFonts w:ascii="Times New Roman" w:hAnsi="Times New Roman"/>
          <w:sz w:val="24"/>
          <w:szCs w:val="24"/>
          <w:lang w:val="en-US" w:eastAsia="id-ID"/>
        </w:rPr>
        <w:t xml:space="preserve"> Pada tingkat</w:t>
      </w:r>
      <w:r w:rsidR="005540C8" w:rsidRPr="00AE1F53">
        <w:rPr>
          <w:rFonts w:ascii="Times New Roman" w:hAnsi="Times New Roman"/>
          <w:sz w:val="24"/>
          <w:szCs w:val="24"/>
          <w:lang w:eastAsia="id-ID"/>
        </w:rPr>
        <w:t xml:space="preserve">  </w:t>
      </w:r>
      <w:r w:rsidR="005540C8" w:rsidRPr="00AE1F53">
        <w:rPr>
          <w:rFonts w:ascii="Times New Roman" w:hAnsi="Times New Roman"/>
          <w:sz w:val="24"/>
          <w:szCs w:val="24"/>
        </w:rPr>
        <w:t xml:space="preserve">Kebijakan makro strategis dalam penanggulangan kemiskinan </w:t>
      </w:r>
      <w:r w:rsidRPr="00AE1F53">
        <w:rPr>
          <w:rFonts w:ascii="Times New Roman" w:hAnsi="Times New Roman"/>
          <w:sz w:val="24"/>
          <w:szCs w:val="24"/>
          <w:lang w:val="en-US"/>
        </w:rPr>
        <w:t>meliputi, yakni</w:t>
      </w:r>
      <w:r w:rsidR="00BE475A" w:rsidRPr="00AE1F53">
        <w:rPr>
          <w:rFonts w:ascii="Times New Roman" w:hAnsi="Times New Roman"/>
          <w:sz w:val="24"/>
          <w:szCs w:val="24"/>
          <w:lang w:val="en-US"/>
        </w:rPr>
        <w:t xml:space="preserve">: </w:t>
      </w:r>
      <w:r w:rsidRPr="00AE1F53">
        <w:rPr>
          <w:rFonts w:ascii="Times New Roman" w:hAnsi="Times New Roman"/>
          <w:sz w:val="24"/>
          <w:szCs w:val="24"/>
          <w:lang w:val="en-US"/>
        </w:rPr>
        <w:t xml:space="preserve"> </w:t>
      </w:r>
      <w:r w:rsidRPr="00AE1F53">
        <w:rPr>
          <w:rFonts w:ascii="Times New Roman" w:hAnsi="Times New Roman"/>
          <w:bCs/>
          <w:color w:val="000000" w:themeColor="text1"/>
          <w:sz w:val="24"/>
          <w:szCs w:val="24"/>
          <w:lang w:val="en-US" w:eastAsia="id-ID"/>
        </w:rPr>
        <w:t xml:space="preserve">Pertama, </w:t>
      </w:r>
      <w:r w:rsidR="005540C8" w:rsidRPr="00AE1F53">
        <w:rPr>
          <w:rFonts w:ascii="Times New Roman" w:hAnsi="Times New Roman"/>
          <w:bCs/>
          <w:color w:val="000000" w:themeColor="text1"/>
          <w:sz w:val="24"/>
          <w:szCs w:val="24"/>
          <w:lang w:eastAsia="id-ID"/>
        </w:rPr>
        <w:t>Memperbaiki dan mengembangkan sistem perlindungan sosial</w:t>
      </w:r>
      <w:r w:rsidR="005540C8" w:rsidRPr="00AE1F53">
        <w:rPr>
          <w:rFonts w:ascii="Times New Roman" w:hAnsi="Times New Roman"/>
          <w:color w:val="000000" w:themeColor="text1"/>
          <w:sz w:val="24"/>
          <w:szCs w:val="24"/>
          <w:lang w:eastAsia="id-ID"/>
        </w:rPr>
        <w:t xml:space="preserve"> bagi penduduk miskin dan rentan</w:t>
      </w:r>
      <w:r w:rsidR="005540C8" w:rsidRPr="00AE1F53">
        <w:rPr>
          <w:rFonts w:ascii="Times New Roman" w:hAnsi="Times New Roman"/>
          <w:b/>
          <w:color w:val="000000" w:themeColor="text1"/>
          <w:sz w:val="24"/>
          <w:szCs w:val="24"/>
          <w:lang w:eastAsia="id-ID"/>
        </w:rPr>
        <w:t xml:space="preserve">. </w:t>
      </w:r>
      <w:r w:rsidR="005540C8" w:rsidRPr="00AE1F53">
        <w:rPr>
          <w:rFonts w:ascii="Times New Roman" w:hAnsi="Times New Roman"/>
          <w:color w:val="000000" w:themeColor="text1"/>
          <w:sz w:val="24"/>
          <w:szCs w:val="24"/>
          <w:lang w:eastAsia="id-ID"/>
        </w:rPr>
        <w:t>Sistem perlindungan sosial dimaksudkan untuk membantu individu dan masyarakat menghadapi goncangan-goncangan (</w:t>
      </w:r>
      <w:r w:rsidR="005540C8" w:rsidRPr="00AE1F53">
        <w:rPr>
          <w:rFonts w:ascii="Times New Roman" w:hAnsi="Times New Roman"/>
          <w:i/>
          <w:color w:val="000000" w:themeColor="text1"/>
          <w:sz w:val="24"/>
          <w:szCs w:val="24"/>
          <w:lang w:eastAsia="id-ID"/>
        </w:rPr>
        <w:t>shocks</w:t>
      </w:r>
      <w:r w:rsidR="005540C8" w:rsidRPr="00AE1F53">
        <w:rPr>
          <w:rFonts w:ascii="Times New Roman" w:hAnsi="Times New Roman"/>
          <w:color w:val="000000" w:themeColor="text1"/>
          <w:sz w:val="24"/>
          <w:szCs w:val="24"/>
          <w:lang w:eastAsia="id-ID"/>
        </w:rPr>
        <w:t>) dalam hidup, seperti jatuh sakit, kematian anggota keluarga, kehilangan pekerjaan, ditimpa bencana atau bencana alam, dan sebagainya. Sistem perlindungan sosial yang efektif akan mengantisipasi agar seseorang atau masyarakat yang mengalami goncangan tidak sampai jatuh miskin.</w:t>
      </w:r>
      <w:r w:rsidRPr="00AE1F53">
        <w:rPr>
          <w:rFonts w:ascii="Times New Roman" w:hAnsi="Times New Roman"/>
          <w:color w:val="000000" w:themeColor="text1"/>
          <w:sz w:val="24"/>
          <w:szCs w:val="24"/>
          <w:lang w:val="en-US" w:eastAsia="id-ID"/>
        </w:rPr>
        <w:t xml:space="preserve"> </w:t>
      </w:r>
    </w:p>
    <w:p w:rsidR="005540C8" w:rsidRPr="00AE1F53" w:rsidRDefault="009B242A" w:rsidP="00CB123A">
      <w:pPr>
        <w:spacing w:after="0" w:line="360" w:lineRule="auto"/>
        <w:ind w:firstLine="720"/>
        <w:jc w:val="both"/>
        <w:rPr>
          <w:rFonts w:ascii="Times New Roman" w:hAnsi="Times New Roman"/>
          <w:color w:val="000000" w:themeColor="text1"/>
          <w:sz w:val="24"/>
          <w:szCs w:val="24"/>
          <w:lang w:eastAsia="id-ID"/>
        </w:rPr>
      </w:pPr>
      <w:r w:rsidRPr="00AE1F53">
        <w:rPr>
          <w:rFonts w:ascii="Times New Roman" w:hAnsi="Times New Roman"/>
          <w:color w:val="000000" w:themeColor="text1"/>
          <w:sz w:val="24"/>
          <w:szCs w:val="24"/>
          <w:lang w:val="en-US" w:eastAsia="id-ID"/>
        </w:rPr>
        <w:t xml:space="preserve">Kedua, </w:t>
      </w:r>
      <w:r w:rsidR="005540C8" w:rsidRPr="00AE1F53">
        <w:rPr>
          <w:rFonts w:ascii="Times New Roman" w:hAnsi="Times New Roman"/>
          <w:bCs/>
          <w:color w:val="000000" w:themeColor="text1"/>
          <w:sz w:val="24"/>
          <w:szCs w:val="24"/>
          <w:lang w:eastAsia="id-ID"/>
        </w:rPr>
        <w:t>Meningkatkan Akses Terhadap Pelayanan Dasar</w:t>
      </w:r>
      <w:r w:rsidRPr="00AE1F53">
        <w:rPr>
          <w:rFonts w:ascii="Times New Roman" w:hAnsi="Times New Roman"/>
          <w:b/>
          <w:bCs/>
          <w:color w:val="000000" w:themeColor="text1"/>
          <w:sz w:val="24"/>
          <w:szCs w:val="24"/>
          <w:lang w:val="en-US" w:eastAsia="id-ID"/>
        </w:rPr>
        <w:t xml:space="preserve">. </w:t>
      </w:r>
      <w:r w:rsidR="005540C8" w:rsidRPr="00AE1F53">
        <w:rPr>
          <w:rFonts w:ascii="Times New Roman" w:hAnsi="Times New Roman"/>
          <w:color w:val="000000" w:themeColor="text1"/>
          <w:sz w:val="24"/>
          <w:szCs w:val="24"/>
          <w:lang w:eastAsia="id-ID"/>
        </w:rPr>
        <w:t xml:space="preserve">Aksesterhadap pelayanan pendidikan, kesehatan, air bersih dan sanitasi, serta pangan dan gizi </w:t>
      </w:r>
      <w:r w:rsidR="005540C8" w:rsidRPr="00AE1F53">
        <w:rPr>
          <w:rFonts w:ascii="Times New Roman" w:hAnsi="Times New Roman"/>
          <w:color w:val="000000" w:themeColor="text1"/>
          <w:sz w:val="24"/>
          <w:szCs w:val="24"/>
          <w:lang w:eastAsia="id-ID"/>
        </w:rPr>
        <w:lastRenderedPageBreak/>
        <w:t>akan membantu mengurangi biaya yang harus dikeluarkan oleh kelompok masyarakat miskin. Disisi lain peningkatan akses terhadap pelayanan dasar mendorong peningkatan investasi modal manusia (</w:t>
      </w:r>
      <w:r w:rsidR="005540C8" w:rsidRPr="00AE1F53">
        <w:rPr>
          <w:rFonts w:ascii="Times New Roman" w:hAnsi="Times New Roman"/>
          <w:i/>
          <w:iCs/>
          <w:color w:val="000000" w:themeColor="text1"/>
          <w:sz w:val="24"/>
          <w:szCs w:val="24"/>
          <w:lang w:eastAsia="id-ID"/>
        </w:rPr>
        <w:t>human capital</w:t>
      </w:r>
      <w:r w:rsidR="005540C8" w:rsidRPr="00AE1F53">
        <w:rPr>
          <w:rFonts w:ascii="Times New Roman" w:hAnsi="Times New Roman"/>
          <w:color w:val="000000" w:themeColor="text1"/>
          <w:sz w:val="24"/>
          <w:szCs w:val="24"/>
          <w:lang w:eastAsia="id-ID"/>
        </w:rPr>
        <w:t>).</w:t>
      </w:r>
      <w:r w:rsidRPr="00AE1F53">
        <w:rPr>
          <w:rFonts w:ascii="Times New Roman" w:hAnsi="Times New Roman"/>
          <w:color w:val="000000" w:themeColor="text1"/>
          <w:sz w:val="24"/>
          <w:szCs w:val="24"/>
          <w:lang w:val="en-US" w:eastAsia="id-ID"/>
        </w:rPr>
        <w:t xml:space="preserve"> </w:t>
      </w:r>
      <w:r w:rsidR="005540C8" w:rsidRPr="00AE1F53">
        <w:rPr>
          <w:rFonts w:ascii="Times New Roman" w:hAnsi="Times New Roman"/>
          <w:color w:val="000000" w:themeColor="text1"/>
          <w:sz w:val="24"/>
          <w:szCs w:val="24"/>
          <w:lang w:eastAsia="id-ID"/>
        </w:rPr>
        <w:t>Salah satu bentuk peningkatan akses pelayanan dasar penduduk miskin terpenting adalah peningkatan akses pendidikan</w:t>
      </w:r>
      <w:r w:rsidR="003C6116" w:rsidRPr="00AE1F53">
        <w:rPr>
          <w:rFonts w:ascii="Times New Roman" w:hAnsi="Times New Roman"/>
          <w:color w:val="000000" w:themeColor="text1"/>
          <w:sz w:val="24"/>
          <w:szCs w:val="24"/>
          <w:lang w:val="en-US" w:eastAsia="id-ID"/>
        </w:rPr>
        <w:t xml:space="preserve">, </w:t>
      </w:r>
      <w:r w:rsidR="005540C8" w:rsidRPr="00AE1F53">
        <w:rPr>
          <w:rFonts w:ascii="Times New Roman" w:hAnsi="Times New Roman"/>
          <w:color w:val="000000" w:themeColor="text1"/>
          <w:sz w:val="24"/>
          <w:szCs w:val="24"/>
          <w:lang w:eastAsia="id-ID"/>
        </w:rPr>
        <w:t xml:space="preserve"> akse</w:t>
      </w:r>
      <w:r w:rsidR="003C6116" w:rsidRPr="00AE1F53">
        <w:rPr>
          <w:rFonts w:ascii="Times New Roman" w:hAnsi="Times New Roman"/>
          <w:color w:val="000000" w:themeColor="text1"/>
          <w:sz w:val="24"/>
          <w:szCs w:val="24"/>
          <w:lang w:eastAsia="id-ID"/>
        </w:rPr>
        <w:t>s terhadap pelayanan kesehatan</w:t>
      </w:r>
      <w:r w:rsidR="003C6116" w:rsidRPr="00AE1F53">
        <w:rPr>
          <w:rFonts w:ascii="Times New Roman" w:hAnsi="Times New Roman"/>
          <w:color w:val="000000" w:themeColor="text1"/>
          <w:sz w:val="24"/>
          <w:szCs w:val="24"/>
          <w:lang w:val="en-US" w:eastAsia="id-ID"/>
        </w:rPr>
        <w:t xml:space="preserve">, </w:t>
      </w:r>
      <w:r w:rsidR="005540C8" w:rsidRPr="00AE1F53">
        <w:rPr>
          <w:rFonts w:ascii="Times New Roman" w:hAnsi="Times New Roman"/>
          <w:color w:val="000000" w:themeColor="text1"/>
          <w:sz w:val="24"/>
          <w:szCs w:val="24"/>
          <w:lang w:eastAsia="id-ID"/>
        </w:rPr>
        <w:t>peningkatan akses terhadap air bersih dan sanitasi yang layak menjadi poin utama untuk mencapai derajat kesehatan yang optimal. Konsumsi air minum yang tidak layak dan buruknya sanitasi perumahan meningkatkan kerentanan individu dan kelompok masyarakat terhadap penyakit.</w:t>
      </w:r>
    </w:p>
    <w:p w:rsidR="005540C8" w:rsidRPr="00AE1F53" w:rsidRDefault="009B242A" w:rsidP="00CB123A">
      <w:pPr>
        <w:tabs>
          <w:tab w:val="left" w:pos="709"/>
        </w:tabs>
        <w:spacing w:after="0" w:line="360" w:lineRule="auto"/>
        <w:jc w:val="both"/>
        <w:rPr>
          <w:rFonts w:ascii="Times New Roman" w:hAnsi="Times New Roman"/>
          <w:color w:val="000000" w:themeColor="text1"/>
          <w:sz w:val="24"/>
          <w:szCs w:val="24"/>
          <w:lang w:eastAsia="id-ID"/>
        </w:rPr>
      </w:pPr>
      <w:r w:rsidRPr="00AE1F53">
        <w:rPr>
          <w:rFonts w:ascii="Times New Roman" w:hAnsi="Times New Roman"/>
          <w:b/>
          <w:bCs/>
          <w:color w:val="000000" w:themeColor="text1"/>
          <w:sz w:val="24"/>
          <w:szCs w:val="24"/>
          <w:lang w:val="en-US" w:eastAsia="id-ID"/>
        </w:rPr>
        <w:tab/>
      </w:r>
      <w:r w:rsidRPr="00AE1F53">
        <w:rPr>
          <w:rFonts w:ascii="Times New Roman" w:hAnsi="Times New Roman"/>
          <w:bCs/>
          <w:color w:val="000000" w:themeColor="text1"/>
          <w:sz w:val="24"/>
          <w:szCs w:val="24"/>
          <w:lang w:val="en-US" w:eastAsia="id-ID"/>
        </w:rPr>
        <w:t xml:space="preserve">Ketiga, </w:t>
      </w:r>
      <w:r w:rsidR="005540C8" w:rsidRPr="00AE1F53">
        <w:rPr>
          <w:rFonts w:ascii="Times New Roman" w:hAnsi="Times New Roman"/>
          <w:bCs/>
          <w:color w:val="000000" w:themeColor="text1"/>
          <w:sz w:val="24"/>
          <w:szCs w:val="24"/>
          <w:lang w:eastAsia="id-ID"/>
        </w:rPr>
        <w:t>Memberdayakan penduduk miskin</w:t>
      </w:r>
      <w:r w:rsidRPr="00AE1F53">
        <w:rPr>
          <w:rFonts w:ascii="Times New Roman" w:hAnsi="Times New Roman"/>
          <w:bCs/>
          <w:color w:val="000000" w:themeColor="text1"/>
          <w:sz w:val="24"/>
          <w:szCs w:val="24"/>
          <w:lang w:val="en-US" w:eastAsia="id-ID"/>
        </w:rPr>
        <w:t>.</w:t>
      </w:r>
      <w:r w:rsidRPr="00AE1F53">
        <w:rPr>
          <w:rFonts w:ascii="Times New Roman" w:hAnsi="Times New Roman"/>
          <w:b/>
          <w:bCs/>
          <w:color w:val="000000" w:themeColor="text1"/>
          <w:sz w:val="24"/>
          <w:szCs w:val="24"/>
          <w:lang w:val="en-US" w:eastAsia="id-ID"/>
        </w:rPr>
        <w:t xml:space="preserve"> </w:t>
      </w:r>
      <w:r w:rsidRPr="00AE1F53">
        <w:rPr>
          <w:rFonts w:ascii="Times New Roman" w:hAnsi="Times New Roman"/>
          <w:bCs/>
          <w:color w:val="000000" w:themeColor="text1"/>
          <w:sz w:val="24"/>
          <w:szCs w:val="24"/>
          <w:lang w:val="en-US" w:eastAsia="id-ID"/>
        </w:rPr>
        <w:t>Hal ini dilakukan sebagai bagian dari</w:t>
      </w:r>
      <w:r w:rsidRPr="00AE1F53">
        <w:rPr>
          <w:rFonts w:ascii="Times New Roman" w:hAnsi="Times New Roman"/>
          <w:b/>
          <w:bCs/>
          <w:color w:val="000000" w:themeColor="text1"/>
          <w:sz w:val="24"/>
          <w:szCs w:val="24"/>
          <w:lang w:val="en-US" w:eastAsia="id-ID"/>
        </w:rPr>
        <w:t xml:space="preserve"> </w:t>
      </w:r>
      <w:r w:rsidRPr="00AE1F53">
        <w:rPr>
          <w:rFonts w:ascii="Times New Roman" w:hAnsi="Times New Roman"/>
          <w:color w:val="000000" w:themeColor="text1"/>
          <w:sz w:val="24"/>
          <w:szCs w:val="24"/>
          <w:lang w:val="en-US" w:eastAsia="id-ID"/>
        </w:rPr>
        <w:t>u</w:t>
      </w:r>
      <w:r w:rsidR="005540C8" w:rsidRPr="00AE1F53">
        <w:rPr>
          <w:rFonts w:ascii="Times New Roman" w:hAnsi="Times New Roman"/>
          <w:color w:val="000000" w:themeColor="text1"/>
          <w:sz w:val="24"/>
          <w:szCs w:val="24"/>
          <w:lang w:eastAsia="id-ID"/>
        </w:rPr>
        <w:t xml:space="preserve">paya </w:t>
      </w:r>
      <w:r w:rsidR="005540C8" w:rsidRPr="00AE1F53">
        <w:rPr>
          <w:rFonts w:ascii="Times New Roman" w:hAnsi="Times New Roman"/>
          <w:bCs/>
          <w:color w:val="000000" w:themeColor="text1"/>
          <w:sz w:val="24"/>
          <w:szCs w:val="24"/>
          <w:lang w:eastAsia="id-ID"/>
        </w:rPr>
        <w:t>memberdayakan penduduk miskin</w:t>
      </w:r>
      <w:r w:rsidR="005540C8" w:rsidRPr="00AE1F53">
        <w:rPr>
          <w:rFonts w:ascii="Times New Roman" w:hAnsi="Times New Roman"/>
          <w:color w:val="000000" w:themeColor="text1"/>
          <w:sz w:val="24"/>
          <w:szCs w:val="24"/>
          <w:lang w:eastAsia="id-ID"/>
        </w:rPr>
        <w:t xml:space="preserve"> menjadi sangat penting untuk meningkatkan efektivitas dan keberlanjutan penanggulangan kemiskinan. Dalam upaya penanggulangan kemiskinan sangat penting untuk tidak memperlakukan penduduk miskin semata-mata sebagai obyek pembangunan. Upaya untuk memberdayakan penduduk miskin perlu dilakukan agar penduduk miskin dapat berupaya keluar dari kemiskinan dan tidak jatuh kembali ke dalam kemiskinan.</w:t>
      </w:r>
      <w:r w:rsidRPr="00AE1F53">
        <w:rPr>
          <w:rFonts w:ascii="Times New Roman" w:hAnsi="Times New Roman"/>
          <w:color w:val="000000" w:themeColor="text1"/>
          <w:sz w:val="24"/>
          <w:szCs w:val="24"/>
          <w:lang w:val="en-US" w:eastAsia="id-ID"/>
        </w:rPr>
        <w:t xml:space="preserve"> Keempat, </w:t>
      </w:r>
      <w:r w:rsidR="005540C8" w:rsidRPr="00AE1F53">
        <w:rPr>
          <w:rFonts w:ascii="Times New Roman" w:hAnsi="Times New Roman"/>
          <w:bCs/>
          <w:color w:val="000000" w:themeColor="text1"/>
          <w:sz w:val="24"/>
          <w:szCs w:val="24"/>
          <w:lang w:eastAsia="id-ID"/>
        </w:rPr>
        <w:t>Pembangunan Inklusif</w:t>
      </w:r>
      <w:r w:rsidRPr="00AE1F53">
        <w:rPr>
          <w:rFonts w:ascii="Times New Roman" w:hAnsi="Times New Roman"/>
          <w:bCs/>
          <w:color w:val="000000" w:themeColor="text1"/>
          <w:sz w:val="24"/>
          <w:szCs w:val="24"/>
          <w:lang w:val="en-US" w:eastAsia="id-ID"/>
        </w:rPr>
        <w:t>, y</w:t>
      </w:r>
      <w:r w:rsidR="005540C8" w:rsidRPr="00AE1F53">
        <w:rPr>
          <w:rFonts w:ascii="Times New Roman" w:hAnsi="Times New Roman"/>
          <w:color w:val="000000" w:themeColor="text1"/>
          <w:sz w:val="24"/>
          <w:szCs w:val="24"/>
          <w:lang w:eastAsia="id-ID"/>
        </w:rPr>
        <w:t>ang diartikan sebagai pembangunan yang mengikutsertakan dan sekaligus memberi manfaat kepada seluruh masyarakat. Partisipasi menjadi kata kunci dari seluruh pelaksanaan pembangunan. Fakta di berbagai negara menunjukkan bahwa kemiskinan hanya dapat berkurang dalam suatu perekonomian yang tumbuh secara dinamis. Sebaliknya, pertumbuhan ekonomi yang stagnan hampir bisa dipastikan berujung pada peningkatan angka kemiskinan. Pertumbuhan harus mampu menciptakan lapangan kerja produktif dalam jumlah besar. Selanjutnya, diharapkan terdapat multiplier effect pada peningkatan pendapatan mayoritas penduduk, peningkatan taraf hidup, dan pengurangan angka kemiskinan.</w:t>
      </w:r>
    </w:p>
    <w:p w:rsidR="005540C8" w:rsidRPr="00AE1F53" w:rsidRDefault="009B242A" w:rsidP="00CB123A">
      <w:pPr>
        <w:spacing w:after="0" w:line="360" w:lineRule="auto"/>
        <w:ind w:firstLine="720"/>
        <w:jc w:val="both"/>
        <w:rPr>
          <w:rFonts w:ascii="Times New Roman" w:hAnsi="Times New Roman"/>
          <w:color w:val="000000" w:themeColor="text1"/>
          <w:sz w:val="24"/>
          <w:szCs w:val="24"/>
          <w:lang w:eastAsia="id-ID"/>
        </w:rPr>
      </w:pPr>
      <w:r w:rsidRPr="00AE1F53">
        <w:rPr>
          <w:rFonts w:ascii="Times New Roman" w:hAnsi="Times New Roman"/>
          <w:color w:val="000000" w:themeColor="text1"/>
          <w:sz w:val="24"/>
          <w:szCs w:val="24"/>
          <w:lang w:val="en-US" w:eastAsia="id-ID"/>
        </w:rPr>
        <w:t>Keempat starategi diatas, s</w:t>
      </w:r>
      <w:r w:rsidR="005540C8" w:rsidRPr="00AE1F53">
        <w:rPr>
          <w:rFonts w:ascii="Times New Roman" w:hAnsi="Times New Roman"/>
          <w:color w:val="000000" w:themeColor="text1"/>
          <w:sz w:val="24"/>
          <w:szCs w:val="24"/>
          <w:lang w:eastAsia="id-ID"/>
        </w:rPr>
        <w:t xml:space="preserve">elain mengacu </w:t>
      </w:r>
      <w:r w:rsidRPr="00AE1F53">
        <w:rPr>
          <w:rFonts w:ascii="Times New Roman" w:hAnsi="Times New Roman"/>
          <w:color w:val="000000" w:themeColor="text1"/>
          <w:sz w:val="24"/>
          <w:szCs w:val="24"/>
          <w:lang w:val="en-US" w:eastAsia="id-ID"/>
        </w:rPr>
        <w:t xml:space="preserve">pada strategi pembangunan </w:t>
      </w:r>
      <w:r w:rsidRPr="00AE1F53">
        <w:rPr>
          <w:rFonts w:ascii="Times New Roman" w:hAnsi="Times New Roman"/>
          <w:color w:val="000000" w:themeColor="text1"/>
          <w:sz w:val="24"/>
          <w:szCs w:val="24"/>
          <w:lang w:eastAsia="id-ID"/>
        </w:rPr>
        <w:t xml:space="preserve">nasional, Pemda Gunungkidul juga </w:t>
      </w:r>
      <w:r w:rsidR="005540C8" w:rsidRPr="00AE1F53">
        <w:rPr>
          <w:rFonts w:ascii="Times New Roman" w:hAnsi="Times New Roman"/>
          <w:color w:val="000000" w:themeColor="text1"/>
          <w:sz w:val="24"/>
          <w:szCs w:val="24"/>
          <w:lang w:eastAsia="id-ID"/>
        </w:rPr>
        <w:t xml:space="preserve">merumuskan kebijakan dan strategi </w:t>
      </w:r>
      <w:r w:rsidR="005540C8" w:rsidRPr="00AE1F53">
        <w:rPr>
          <w:rFonts w:ascii="Times New Roman" w:hAnsi="Times New Roman"/>
          <w:color w:val="000000" w:themeColor="text1"/>
          <w:sz w:val="24"/>
          <w:szCs w:val="24"/>
          <w:lang w:eastAsia="id-ID"/>
        </w:rPr>
        <w:lastRenderedPageBreak/>
        <w:t xml:space="preserve">penanggulangan kemiskinan sesuai situasi dan kemampuan daerah. Dengan melihat potensi yang ada telah dirumuskan strategi penanggulangan kemiskinan di Kabupaten Gunungkidul sebagai pijakan program tahun 2012-2015, meliputi lima strategi : </w:t>
      </w:r>
      <w:r w:rsidR="00CD4CD3" w:rsidRPr="00AE1F53">
        <w:rPr>
          <w:rFonts w:ascii="Times New Roman" w:hAnsi="Times New Roman"/>
          <w:color w:val="000000" w:themeColor="text1"/>
          <w:sz w:val="24"/>
          <w:szCs w:val="24"/>
          <w:lang w:val="en-US" w:eastAsia="id-ID"/>
        </w:rPr>
        <w:t xml:space="preserve">(1) </w:t>
      </w:r>
      <w:r w:rsidR="005540C8" w:rsidRPr="00AE1F53">
        <w:rPr>
          <w:rFonts w:ascii="Times New Roman" w:hAnsi="Times New Roman"/>
          <w:bCs/>
          <w:color w:val="000000" w:themeColor="text1"/>
          <w:sz w:val="24"/>
          <w:szCs w:val="24"/>
          <w:lang w:eastAsia="id-ID"/>
        </w:rPr>
        <w:t>Unifikasi dan validasi data sasaran penanggulangan kemiskinan</w:t>
      </w:r>
      <w:r w:rsidR="00CD4CD3" w:rsidRPr="00AE1F53">
        <w:rPr>
          <w:rFonts w:ascii="Times New Roman" w:hAnsi="Times New Roman"/>
          <w:bCs/>
          <w:color w:val="000000" w:themeColor="text1"/>
          <w:sz w:val="24"/>
          <w:szCs w:val="24"/>
          <w:lang w:val="en-US" w:eastAsia="id-ID"/>
        </w:rPr>
        <w:t>. Strategi ini dilakukan untuk mengatasi masih adanya</w:t>
      </w:r>
      <w:r w:rsidR="00CD4CD3" w:rsidRPr="00AE1F53">
        <w:rPr>
          <w:rFonts w:ascii="Times New Roman" w:hAnsi="Times New Roman"/>
          <w:b/>
          <w:bCs/>
          <w:color w:val="000000" w:themeColor="text1"/>
          <w:sz w:val="24"/>
          <w:szCs w:val="24"/>
          <w:lang w:val="en-US" w:eastAsia="id-ID"/>
        </w:rPr>
        <w:t xml:space="preserve"> </w:t>
      </w:r>
      <w:r w:rsidR="005540C8" w:rsidRPr="00AE1F53">
        <w:rPr>
          <w:rFonts w:ascii="Times New Roman" w:hAnsi="Times New Roman"/>
          <w:color w:val="000000" w:themeColor="text1"/>
          <w:sz w:val="24"/>
          <w:szCs w:val="24"/>
          <w:lang w:eastAsia="id-ID"/>
        </w:rPr>
        <w:t xml:space="preserve">data sasaran yang masih berlainan antar SKPD, maupun antara SKPD dengan BPS. Data sasaran yang berbeda antar institusi akan berpotensi terjadinya tumpah tindih di dalam intervensi program, disisi lain juga membuka peluang adanya sasaran yang tidak tersentuh dengan program/kegiatan penanggulangan kemiskinan. Permasalahan lain terhadap ketersediaan data sasaran penanggulangan kemiskinan  belum semuanya berbasis </w:t>
      </w:r>
      <w:r w:rsidR="005540C8" w:rsidRPr="00AE1F53">
        <w:rPr>
          <w:rFonts w:ascii="Times New Roman" w:hAnsi="Times New Roman"/>
          <w:i/>
          <w:iCs/>
          <w:color w:val="000000" w:themeColor="text1"/>
          <w:sz w:val="24"/>
          <w:szCs w:val="24"/>
          <w:lang w:eastAsia="id-ID"/>
        </w:rPr>
        <w:t xml:space="preserve">by name by address. </w:t>
      </w:r>
      <w:r w:rsidR="005540C8" w:rsidRPr="00AE1F53">
        <w:rPr>
          <w:rFonts w:ascii="Times New Roman" w:hAnsi="Times New Roman"/>
          <w:color w:val="000000" w:themeColor="text1"/>
          <w:sz w:val="24"/>
          <w:szCs w:val="24"/>
          <w:lang w:eastAsia="id-ID"/>
        </w:rPr>
        <w:t>Oleh karena itu perlu dibangun suatu komitmen dan satu sistem informasi data sasaran penanggulangan kemiskinan yang akan menjadi rujukan semua stake holder dalam upaya penanggulangan kemiskinan.</w:t>
      </w:r>
    </w:p>
    <w:p w:rsidR="005540C8" w:rsidRPr="00AE1F53" w:rsidRDefault="00CD4CD3" w:rsidP="00CB123A">
      <w:pPr>
        <w:spacing w:after="0" w:line="360" w:lineRule="auto"/>
        <w:ind w:firstLine="720"/>
        <w:jc w:val="both"/>
        <w:rPr>
          <w:rFonts w:ascii="Times New Roman" w:hAnsi="Times New Roman"/>
          <w:sz w:val="24"/>
          <w:szCs w:val="24"/>
          <w:lang w:eastAsia="id-ID"/>
        </w:rPr>
      </w:pPr>
      <w:r w:rsidRPr="00AE1F53">
        <w:rPr>
          <w:rFonts w:ascii="Times New Roman" w:hAnsi="Times New Roman"/>
          <w:sz w:val="24"/>
          <w:szCs w:val="24"/>
          <w:lang w:val="en-US" w:eastAsia="id-ID"/>
        </w:rPr>
        <w:t>Hal yang cukup membantu dalam konteks ini, yakni sejak</w:t>
      </w:r>
      <w:r w:rsidR="005540C8" w:rsidRPr="00AE1F53">
        <w:rPr>
          <w:rFonts w:ascii="Times New Roman" w:hAnsi="Times New Roman"/>
          <w:sz w:val="24"/>
          <w:szCs w:val="24"/>
          <w:lang w:eastAsia="id-ID"/>
        </w:rPr>
        <w:t xml:space="preserve"> tahun 2012 Pemerintah Pusat melalui Tim Nasional Percepatan Penanggulangan Kemiskinan (TNP2K) telah menerbitkan Basis Data Terpadu untuk Program-Program Perlindungan Sosial, yang merupakan  sebuah sistem untuk mengidentifikasi para penerima bantuan sosial, baik rumahtangga penerima, keluarga penerima maupun individu penerima bantuan, didasarkan pada kriteria-kriteria sosial-ekonomi yang telah dibakukan. Database tersebut berisi informasi sosial-ekonomi dan demografi dari sekitar 24 juta rumahtangga (yang artinya mencakup bagian terendah dari 40% populasi rakyat Indonesia) yang telah diklasifikasi berdasarkan tingkat kesejahteraan mereka, dari yang paling rendah sampai yang paling tinggi, sesuai dengan Pendataan Program Perlindungan Sosial (PPLS) yang dilaksanakan oleh  Badan Pusat Statistik (BPS) tahun 2011. Basis data tersebut telah diterima Pemerintah Kabupaten Gunungkidul pada pertengahan tahun 2012 dan </w:t>
      </w:r>
      <w:r w:rsidR="005540C8" w:rsidRPr="00AE1F53">
        <w:rPr>
          <w:rFonts w:ascii="Times New Roman" w:hAnsi="Times New Roman"/>
          <w:sz w:val="24"/>
          <w:szCs w:val="24"/>
          <w:lang w:eastAsia="id-ID"/>
        </w:rPr>
        <w:lastRenderedPageBreak/>
        <w:t>direncanakan menjadi basis rujukan dalam program penanggulanagan kemiskinan.</w:t>
      </w:r>
    </w:p>
    <w:p w:rsidR="005540C8" w:rsidRPr="00AE1F53" w:rsidRDefault="00CD4CD3" w:rsidP="00CB123A">
      <w:pPr>
        <w:tabs>
          <w:tab w:val="left" w:pos="1134"/>
        </w:tabs>
        <w:spacing w:after="0" w:line="360" w:lineRule="auto"/>
        <w:jc w:val="both"/>
        <w:rPr>
          <w:rFonts w:ascii="Times New Roman" w:hAnsi="Times New Roman"/>
          <w:sz w:val="24"/>
          <w:szCs w:val="24"/>
          <w:lang w:eastAsia="id-ID"/>
        </w:rPr>
      </w:pPr>
      <w:r w:rsidRPr="00AE1F53">
        <w:rPr>
          <w:rFonts w:ascii="Times New Roman" w:hAnsi="Times New Roman"/>
          <w:sz w:val="24"/>
          <w:szCs w:val="24"/>
          <w:lang w:val="en-US" w:eastAsia="id-ID"/>
        </w:rPr>
        <w:t xml:space="preserve">             </w:t>
      </w:r>
      <w:r w:rsidR="005540C8" w:rsidRPr="00AE1F53">
        <w:rPr>
          <w:rFonts w:ascii="Times New Roman" w:hAnsi="Times New Roman"/>
          <w:sz w:val="24"/>
          <w:szCs w:val="24"/>
          <w:lang w:eastAsia="id-ID"/>
        </w:rPr>
        <w:t xml:space="preserve">Meskipun basis data terpadu tersebut dinilai sudah cukup lengkap informasinya,  tetapi dari beberapa hasil verifikasi secara acak maupun berdasarkan  laporan dari beberapa desa  (kasus data sasaran Raskin) masih ditemukan kendala adanya data yang belum tepat sasaran, dalam arti  ada sebagian rumah tangga yang dipandang miskin oleh kondisi faktual tetapi tidak termasuk di dalam basis data terpadu, begitu pula sebaliknya ada sebagian rumah tangga yang secara faktual dipandang tidak miskin tetapi justru masuk dalam basis data terpadu. </w:t>
      </w:r>
    </w:p>
    <w:p w:rsidR="005540C8" w:rsidRPr="00AE1F53" w:rsidRDefault="00CD4CD3" w:rsidP="00CB123A">
      <w:pPr>
        <w:tabs>
          <w:tab w:val="left" w:pos="720"/>
        </w:tabs>
        <w:spacing w:after="0" w:line="360" w:lineRule="auto"/>
        <w:jc w:val="both"/>
        <w:rPr>
          <w:rFonts w:ascii="Times New Roman" w:hAnsi="Times New Roman"/>
          <w:sz w:val="24"/>
          <w:szCs w:val="24"/>
          <w:lang w:eastAsia="id-ID"/>
        </w:rPr>
      </w:pPr>
      <w:r w:rsidRPr="00AE1F53">
        <w:rPr>
          <w:rFonts w:ascii="Times New Roman" w:hAnsi="Times New Roman"/>
          <w:sz w:val="24"/>
          <w:szCs w:val="24"/>
          <w:lang w:val="en-US" w:eastAsia="id-ID"/>
        </w:rPr>
        <w:tab/>
      </w:r>
      <w:r w:rsidR="005540C8" w:rsidRPr="00AE1F53">
        <w:rPr>
          <w:rFonts w:ascii="Times New Roman" w:hAnsi="Times New Roman"/>
          <w:sz w:val="24"/>
          <w:szCs w:val="24"/>
          <w:lang w:eastAsia="id-ID"/>
        </w:rPr>
        <w:t xml:space="preserve">Kondisi tersebut harus dicari solusinya, agar ketersediaan data tidak menimbulkan permasalahan baru dalam upaya penanggualngan kemiskinan. Salah satu strategi yang perlu dirumuskan dalam upaya mengoptimalkan validitas data sasaran penanggulangan kemiskinan adalah melibatkan peran dan partisipasi masyarakat dalam mengidentifikasi subyek maupun obyek kemiskinan  di lingkungannya. Pada dasarnya masyarakat merupakan suatu komunitas sosial yang saling berinterkasi dalam kehidupan sehari-hari sehingga berbagi permasalahan yang dihadapi lingkungan rumah tangga termasuk masalah kemiskinan mereka lebih memahami, meski dengan indikator lokal dan belum terstandar. Upaya lanjut yang perlu dibangun dalam unifikasi data adalah penguatan sistem informasi (termasuk data kemiskinan) di tingkat desa mengingat secara administrasi pemerintah desa menjadi ujung tombak dalam memahami permasalahan kemiskinan masyarakat termasuk rumusan strategi penanggulangannya. Penguatan sistem informasi desa akan menjadi point strategis, karena secara tidak  langsung akan memberikan kewenangan yang lebih besar kepada desa untuk memahami masalah kemiskinan di wilayahnya dan tanggung jawab sosial untuk mengatasinya.  </w:t>
      </w:r>
    </w:p>
    <w:p w:rsidR="005540C8" w:rsidRPr="00AE1F53" w:rsidRDefault="00CD4CD3" w:rsidP="00CB123A">
      <w:pPr>
        <w:tabs>
          <w:tab w:val="left" w:pos="1134"/>
        </w:tabs>
        <w:spacing w:after="0" w:line="360" w:lineRule="auto"/>
        <w:ind w:firstLine="720"/>
        <w:jc w:val="both"/>
        <w:rPr>
          <w:rFonts w:ascii="Times New Roman" w:hAnsi="Times New Roman"/>
          <w:color w:val="000000" w:themeColor="text1"/>
          <w:sz w:val="24"/>
          <w:szCs w:val="24"/>
          <w:lang w:eastAsia="id-ID"/>
        </w:rPr>
      </w:pPr>
      <w:r w:rsidRPr="00AE1F53">
        <w:rPr>
          <w:rFonts w:ascii="Times New Roman" w:hAnsi="Times New Roman"/>
          <w:color w:val="000000" w:themeColor="text1"/>
          <w:sz w:val="24"/>
          <w:szCs w:val="24"/>
          <w:lang w:val="en-US" w:eastAsia="id-ID"/>
        </w:rPr>
        <w:lastRenderedPageBreak/>
        <w:t xml:space="preserve">(2) </w:t>
      </w:r>
      <w:r w:rsidR="005540C8" w:rsidRPr="00AE1F53">
        <w:rPr>
          <w:rFonts w:ascii="Times New Roman" w:hAnsi="Times New Roman"/>
          <w:bCs/>
          <w:color w:val="000000" w:themeColor="text1"/>
          <w:sz w:val="24"/>
          <w:szCs w:val="24"/>
          <w:lang w:eastAsia="id-ID"/>
        </w:rPr>
        <w:t>Membangun serta meningkatan kemitraan dengan pihak swasta, dunia usaha perguruan tinggi, dan lembaga sekolah</w:t>
      </w:r>
      <w:r w:rsidR="005540C8" w:rsidRPr="00AE1F53">
        <w:rPr>
          <w:rFonts w:ascii="Times New Roman" w:hAnsi="Times New Roman"/>
          <w:b/>
          <w:bCs/>
          <w:color w:val="000000" w:themeColor="text1"/>
          <w:sz w:val="24"/>
          <w:szCs w:val="24"/>
          <w:lang w:eastAsia="id-ID"/>
        </w:rPr>
        <w:t>.</w:t>
      </w:r>
      <w:r w:rsidRPr="00AE1F53">
        <w:rPr>
          <w:rFonts w:ascii="Times New Roman" w:hAnsi="Times New Roman"/>
          <w:b/>
          <w:bCs/>
          <w:color w:val="000000" w:themeColor="text1"/>
          <w:sz w:val="24"/>
          <w:szCs w:val="24"/>
          <w:lang w:val="en-US" w:eastAsia="id-ID"/>
        </w:rPr>
        <w:t xml:space="preserve"> </w:t>
      </w:r>
      <w:r w:rsidR="005540C8" w:rsidRPr="00AE1F53">
        <w:rPr>
          <w:rFonts w:ascii="Times New Roman" w:hAnsi="Times New Roman"/>
          <w:color w:val="000000" w:themeColor="text1"/>
          <w:sz w:val="24"/>
          <w:szCs w:val="24"/>
          <w:lang w:eastAsia="id-ID"/>
        </w:rPr>
        <w:t xml:space="preserve">Masalah kemiskinan  tentunya bukan hanya tanggung jawab pemerintah saja, tetapi merupakan tanggung jawab sosial  dari berbagai komponen bangsa untuk saling berkontribusi sesuai dengan kewenangan dan kemampuannya. Di dalam merespon tanggung jawab sosial terhadap lingkungannnya sudah sekian waktu lembaga swasta (termasuk dunia usaha) telah berkontribusi melalui program </w:t>
      </w:r>
      <w:r w:rsidR="005540C8" w:rsidRPr="00AE1F53">
        <w:rPr>
          <w:rFonts w:ascii="Times New Roman" w:hAnsi="Times New Roman"/>
          <w:i/>
          <w:color w:val="000000" w:themeColor="text1"/>
          <w:sz w:val="24"/>
          <w:szCs w:val="24"/>
          <w:lang w:eastAsia="id-ID"/>
        </w:rPr>
        <w:t>Corporate Social Responsivebility</w:t>
      </w:r>
      <w:r w:rsidR="005540C8" w:rsidRPr="00AE1F53">
        <w:rPr>
          <w:rFonts w:ascii="Times New Roman" w:hAnsi="Times New Roman"/>
          <w:color w:val="000000" w:themeColor="text1"/>
          <w:sz w:val="24"/>
          <w:szCs w:val="24"/>
          <w:lang w:eastAsia="id-ID"/>
        </w:rPr>
        <w:t xml:space="preserve"> (CSR). Kegiatan tersebut dinilai sangat potensial untuk disinergikan dalam upaya penanggulangan kemiskinan. Namun demikian mengingat belum optimalnya komunikasi dan koordinasi kadang dijumpai program CSR yang berjalan tanpa melalui pemerintah daerah serta kurang memperhatian aspek kebutuhan dan permasalah masyarakat. Di lain pihak masih ada lembaga swasta juga belum merespon program CSR khususnya di wilayah Kabupaten Gunungkidul. Kondisi yang demikian tentunya harus dibangun komunikasi yang lebih intensif guna mensinergikan program CSR dalam penanggulangan kemiskinan. </w:t>
      </w:r>
    </w:p>
    <w:p w:rsidR="005540C8" w:rsidRPr="00AE1F53" w:rsidRDefault="005540C8" w:rsidP="00CB123A">
      <w:pPr>
        <w:tabs>
          <w:tab w:val="left" w:pos="851"/>
        </w:tabs>
        <w:spacing w:after="0" w:line="360" w:lineRule="auto"/>
        <w:ind w:firstLine="810"/>
        <w:jc w:val="both"/>
        <w:rPr>
          <w:rFonts w:ascii="Times New Roman" w:hAnsi="Times New Roman"/>
          <w:color w:val="000000" w:themeColor="text1"/>
          <w:sz w:val="24"/>
          <w:szCs w:val="24"/>
          <w:lang w:eastAsia="id-ID"/>
        </w:rPr>
      </w:pPr>
      <w:r w:rsidRPr="00AE1F53">
        <w:rPr>
          <w:rFonts w:ascii="Times New Roman" w:hAnsi="Times New Roman"/>
          <w:color w:val="000000" w:themeColor="text1"/>
          <w:sz w:val="24"/>
          <w:szCs w:val="24"/>
          <w:lang w:eastAsia="id-ID"/>
        </w:rPr>
        <w:t xml:space="preserve">Salah satu dari sekian problem kemiskinan yang dihadapi masyarakat Gunungkidul adalah rendahnya kepemilikan dan pengelolaan sanitasi perumahan, termasuk di dalamnya rendahnya kualitas jamban yang belum memenuhi syarat kesehatan. Kondisi sanitasi yang kurang sehat berpotensi menjadi sumber penyebaran penyakit infeksi, sehingga akan mempengaruhi tingkat kesehatan penduduk miskin. Program CSR akan menjadi sangat strategis  apabila mampu diarahkan untuk peningkatan kualitas sanitasi pada perumahan pada penduduk miskin, mengingat akses terhadap permasalahan tersebut merupakan beban berat yang dihadapi penduduk miskin. Program CSR juga bisa diarahkan pada pemberdayaan masyarakat yang bersifat </w:t>
      </w:r>
      <w:r w:rsidRPr="00AE1F53">
        <w:rPr>
          <w:rFonts w:ascii="Times New Roman" w:hAnsi="Times New Roman"/>
          <w:i/>
          <w:color w:val="000000" w:themeColor="text1"/>
          <w:sz w:val="24"/>
          <w:szCs w:val="24"/>
          <w:lang w:eastAsia="id-ID"/>
        </w:rPr>
        <w:t>proo job</w:t>
      </w:r>
      <w:r w:rsidRPr="00AE1F53">
        <w:rPr>
          <w:rFonts w:ascii="Times New Roman" w:hAnsi="Times New Roman"/>
          <w:color w:val="000000" w:themeColor="text1"/>
          <w:sz w:val="24"/>
          <w:szCs w:val="24"/>
          <w:lang w:eastAsia="id-ID"/>
        </w:rPr>
        <w:t>, guna membuka lapangan kerja guna meningkatkan perekonomian keluarga, sehingga permasalahan kemiskinan secara bertahap bisa teratasi.</w:t>
      </w:r>
    </w:p>
    <w:p w:rsidR="005540C8" w:rsidRPr="00AE1F53" w:rsidRDefault="00AE1F53" w:rsidP="00CB123A">
      <w:pPr>
        <w:tabs>
          <w:tab w:val="left" w:pos="851"/>
        </w:tabs>
        <w:spacing w:after="0" w:line="360" w:lineRule="auto"/>
        <w:ind w:firstLine="1134"/>
        <w:jc w:val="both"/>
        <w:rPr>
          <w:rFonts w:ascii="Times New Roman" w:hAnsi="Times New Roman"/>
          <w:color w:val="000000" w:themeColor="text1"/>
          <w:sz w:val="24"/>
          <w:szCs w:val="24"/>
          <w:lang w:eastAsia="id-ID"/>
        </w:rPr>
      </w:pPr>
      <w:r>
        <w:rPr>
          <w:rFonts w:ascii="Times New Roman" w:hAnsi="Times New Roman"/>
          <w:sz w:val="24"/>
          <w:szCs w:val="24"/>
          <w:lang w:val="en-US" w:eastAsia="id-ID"/>
        </w:rPr>
        <w:lastRenderedPageBreak/>
        <w:t>Pemda Gunungkidul berupaya untuk mensinergikan p</w:t>
      </w:r>
      <w:r w:rsidR="005540C8" w:rsidRPr="00AE1F53">
        <w:rPr>
          <w:rFonts w:ascii="Times New Roman" w:hAnsi="Times New Roman"/>
          <w:sz w:val="24"/>
          <w:szCs w:val="24"/>
          <w:lang w:eastAsia="id-ID"/>
        </w:rPr>
        <w:t>otensi lembaga lain dalam penanggulangan kemiskinan</w:t>
      </w:r>
      <w:r>
        <w:rPr>
          <w:rFonts w:ascii="Times New Roman" w:hAnsi="Times New Roman"/>
          <w:sz w:val="24"/>
          <w:szCs w:val="24"/>
          <w:lang w:val="en-US" w:eastAsia="id-ID"/>
        </w:rPr>
        <w:t xml:space="preserve">, hal ini dengan memperhatikan </w:t>
      </w:r>
      <w:r w:rsidR="005540C8" w:rsidRPr="00AE1F53">
        <w:rPr>
          <w:rFonts w:ascii="Times New Roman" w:hAnsi="Times New Roman"/>
          <w:sz w:val="24"/>
          <w:szCs w:val="24"/>
          <w:lang w:eastAsia="id-ID"/>
        </w:rPr>
        <w:t>keberadaan perguruan tinggi yang tersebar di wilayah Daerah Istimewa Yogyakarta. Salah satu bentuk tridharma perguruan tinggi adalah pengabdian</w:t>
      </w:r>
      <w:r w:rsidR="005540C8" w:rsidRPr="00AE1F53">
        <w:rPr>
          <w:rFonts w:ascii="Times New Roman" w:hAnsi="Times New Roman"/>
          <w:color w:val="000000" w:themeColor="text1"/>
          <w:sz w:val="24"/>
          <w:szCs w:val="24"/>
          <w:lang w:eastAsia="id-ID"/>
        </w:rPr>
        <w:t xml:space="preserve"> pada masyarakat. Kebanyakan perguruan tinggi mengimplementasikan bentuk pengadian kepada masyarakat melalui kegiatan kuliah kerja nyata (KKN) yang telah berlangsung sekian lama termasuk di wilayah Kabupaten Gunungkidul. Namun demikian bentuk kegiatan KKN dari waktu ke waktu  tidak banyak berubah, lebih banyak pada kegiatan administrasi desa maupun kegiatan seremonial lain (lomba-lomba) dan bersifat sesaat. Potensi yang demikian perlu dikelola lebih baik, dengan membangun kembali komitmen Pemerintah Kabupaten Gunungkidul dengan perguruan tinggi guna mensinergikan program pengabdian masyarakat (KKN)  disesuaikan  dengan permasalahan yang dihadapi masyarakat (terutama dalam mengatasi kemiskinan) dan bersifat berkelanjutan. </w:t>
      </w:r>
    </w:p>
    <w:p w:rsidR="005540C8" w:rsidRPr="00AE1F53" w:rsidRDefault="00BE475A" w:rsidP="00BE475A">
      <w:pPr>
        <w:tabs>
          <w:tab w:val="left" w:pos="851"/>
        </w:tabs>
        <w:spacing w:after="0" w:line="360" w:lineRule="auto"/>
        <w:jc w:val="both"/>
        <w:rPr>
          <w:rFonts w:ascii="Times New Roman" w:hAnsi="Times New Roman"/>
          <w:color w:val="000000" w:themeColor="text1"/>
          <w:sz w:val="24"/>
          <w:szCs w:val="24"/>
          <w:lang w:eastAsia="id-ID"/>
        </w:rPr>
      </w:pPr>
      <w:r w:rsidRPr="00AE1F53">
        <w:rPr>
          <w:rFonts w:ascii="Times New Roman" w:hAnsi="Times New Roman"/>
          <w:color w:val="000000" w:themeColor="text1"/>
          <w:sz w:val="24"/>
          <w:szCs w:val="24"/>
          <w:lang w:val="en-US" w:eastAsia="id-ID"/>
        </w:rPr>
        <w:tab/>
      </w:r>
      <w:r w:rsidR="005540C8" w:rsidRPr="00AE1F53">
        <w:rPr>
          <w:rFonts w:ascii="Times New Roman" w:hAnsi="Times New Roman"/>
          <w:color w:val="000000" w:themeColor="text1"/>
          <w:sz w:val="24"/>
          <w:szCs w:val="24"/>
          <w:lang w:eastAsia="id-ID"/>
        </w:rPr>
        <w:t>Pengembangan riset perguruan tinggi yang mengambil lokasi di Kabupaten Gunungkidul perlu dijalin dan ditata lebih intensif lagi agar lebih bersinergi sehingga kedua belah pihak akan memperoleh manfaat. Pemerintah daerah harus membuka akses kemudahan untuk mendorong perguruan tinggi mengagendakan kegiatan  riset berkelanjutan di wilayah Kabupaten Gunungkidul. Agenda riset yang perlu diagendakan bersama adalah yang  menyangkut permasalahan kemiskinan, serta strategi penggalian dan pengembangan potensi masyarakat Kabupaten Gunungkidul, agar lebih berdaya untuk keluar dari permasalahan kemiskinan.</w:t>
      </w:r>
    </w:p>
    <w:p w:rsidR="005540C8" w:rsidRPr="00AE1F53" w:rsidRDefault="005540C8" w:rsidP="00CB123A">
      <w:pPr>
        <w:tabs>
          <w:tab w:val="left" w:pos="851"/>
        </w:tabs>
        <w:spacing w:after="0" w:line="360" w:lineRule="auto"/>
        <w:ind w:firstLine="720"/>
        <w:jc w:val="both"/>
        <w:rPr>
          <w:rFonts w:ascii="Times New Roman" w:hAnsi="Times New Roman"/>
          <w:color w:val="000000" w:themeColor="text1"/>
          <w:sz w:val="24"/>
          <w:szCs w:val="24"/>
          <w:lang w:eastAsia="id-ID"/>
        </w:rPr>
      </w:pPr>
      <w:r w:rsidRPr="00AE1F53">
        <w:rPr>
          <w:rFonts w:ascii="Times New Roman" w:hAnsi="Times New Roman"/>
          <w:color w:val="000000" w:themeColor="text1"/>
          <w:sz w:val="24"/>
          <w:szCs w:val="24"/>
          <w:lang w:eastAsia="id-ID"/>
        </w:rPr>
        <w:t>Dalam rangka memperkuat sistem informasi desa yang berbasis teknologi informasi (termasuk di dalamnya data kemiskinan)</w:t>
      </w:r>
      <w:r w:rsidR="00BE475A" w:rsidRPr="00AE1F53">
        <w:rPr>
          <w:rFonts w:ascii="Times New Roman" w:hAnsi="Times New Roman"/>
          <w:color w:val="000000" w:themeColor="text1"/>
          <w:sz w:val="24"/>
          <w:szCs w:val="24"/>
          <w:lang w:val="en-US" w:eastAsia="id-ID"/>
        </w:rPr>
        <w:t>, Pemda Gunungkidul juga merasa</w:t>
      </w:r>
      <w:r w:rsidRPr="00AE1F53">
        <w:rPr>
          <w:rFonts w:ascii="Times New Roman" w:hAnsi="Times New Roman"/>
          <w:color w:val="000000" w:themeColor="text1"/>
          <w:sz w:val="24"/>
          <w:szCs w:val="24"/>
          <w:lang w:eastAsia="id-ID"/>
        </w:rPr>
        <w:t xml:space="preserve"> perlu </w:t>
      </w:r>
      <w:r w:rsidR="00BE475A" w:rsidRPr="00AE1F53">
        <w:rPr>
          <w:rFonts w:ascii="Times New Roman" w:hAnsi="Times New Roman"/>
          <w:color w:val="000000" w:themeColor="text1"/>
          <w:sz w:val="24"/>
          <w:szCs w:val="24"/>
          <w:lang w:val="en-US" w:eastAsia="id-ID"/>
        </w:rPr>
        <w:t xml:space="preserve">untuk </w:t>
      </w:r>
      <w:r w:rsidRPr="00AE1F53">
        <w:rPr>
          <w:rFonts w:ascii="Times New Roman" w:hAnsi="Times New Roman"/>
          <w:color w:val="000000" w:themeColor="text1"/>
          <w:sz w:val="24"/>
          <w:szCs w:val="24"/>
          <w:lang w:eastAsia="id-ID"/>
        </w:rPr>
        <w:t xml:space="preserve">melibatkan dan memberdayakan sekolah kejuruan yang menyelenggarakan program studi teknologi informasi. Sistem informasi yang berbasis teknologi informasi pada saat ini menjadi kebutuhan yang sangat </w:t>
      </w:r>
      <w:r w:rsidRPr="00AE1F53">
        <w:rPr>
          <w:rFonts w:ascii="Times New Roman" w:hAnsi="Times New Roman"/>
          <w:color w:val="000000" w:themeColor="text1"/>
          <w:sz w:val="24"/>
          <w:szCs w:val="24"/>
          <w:lang w:eastAsia="id-ID"/>
        </w:rPr>
        <w:lastRenderedPageBreak/>
        <w:t>mendasar, namun demikian pengembangan sistem informasi di tingkat desa terkendala dengan terbatas sumber daya manusia. Guna mengatasi permasalahan tersebut para siswa pada sekolah kejuruan berbasis teknologi informasi bisa diberdayakan untuk membantu operasional sistem informasi di tingkat desa.</w:t>
      </w:r>
    </w:p>
    <w:p w:rsidR="005540C8" w:rsidRPr="00AE1F53" w:rsidRDefault="00CD4CD3" w:rsidP="00CB123A">
      <w:pPr>
        <w:tabs>
          <w:tab w:val="left" w:pos="851"/>
        </w:tabs>
        <w:spacing w:after="0" w:line="360" w:lineRule="auto"/>
        <w:ind w:firstLine="630"/>
        <w:jc w:val="both"/>
        <w:rPr>
          <w:rFonts w:ascii="Times New Roman" w:hAnsi="Times New Roman"/>
          <w:color w:val="000000" w:themeColor="text1"/>
          <w:sz w:val="24"/>
          <w:szCs w:val="24"/>
          <w:lang w:eastAsia="id-ID"/>
        </w:rPr>
      </w:pPr>
      <w:r w:rsidRPr="00AE1F53">
        <w:rPr>
          <w:rFonts w:ascii="Times New Roman" w:hAnsi="Times New Roman"/>
          <w:color w:val="000000" w:themeColor="text1"/>
          <w:sz w:val="24"/>
          <w:szCs w:val="24"/>
          <w:lang w:val="en-US" w:eastAsia="id-ID"/>
        </w:rPr>
        <w:t>(3)</w:t>
      </w:r>
      <w:r w:rsidR="005540C8" w:rsidRPr="00AE1F53">
        <w:rPr>
          <w:rFonts w:ascii="Times New Roman" w:hAnsi="Times New Roman"/>
          <w:color w:val="000000" w:themeColor="text1"/>
          <w:sz w:val="24"/>
          <w:szCs w:val="24"/>
          <w:lang w:eastAsia="id-ID"/>
        </w:rPr>
        <w:t xml:space="preserve"> </w:t>
      </w:r>
      <w:r w:rsidR="005540C8" w:rsidRPr="00AE1F53">
        <w:rPr>
          <w:rFonts w:ascii="Times New Roman" w:hAnsi="Times New Roman"/>
          <w:bCs/>
          <w:color w:val="000000" w:themeColor="text1"/>
          <w:sz w:val="24"/>
          <w:szCs w:val="24"/>
          <w:lang w:eastAsia="id-ID"/>
        </w:rPr>
        <w:t>Pengembangan industrialisasi perdesaan</w:t>
      </w:r>
      <w:r w:rsidRPr="00AE1F53">
        <w:rPr>
          <w:rFonts w:ascii="Times New Roman" w:hAnsi="Times New Roman"/>
          <w:b/>
          <w:bCs/>
          <w:color w:val="000000" w:themeColor="text1"/>
          <w:sz w:val="24"/>
          <w:szCs w:val="24"/>
          <w:lang w:val="en-US" w:eastAsia="id-ID"/>
        </w:rPr>
        <w:t xml:space="preserve">. </w:t>
      </w:r>
      <w:r w:rsidR="005540C8" w:rsidRPr="00AE1F53">
        <w:rPr>
          <w:rFonts w:ascii="Times New Roman" w:hAnsi="Times New Roman"/>
          <w:color w:val="000000" w:themeColor="text1"/>
          <w:sz w:val="24"/>
          <w:szCs w:val="24"/>
          <w:lang w:eastAsia="id-ID"/>
        </w:rPr>
        <w:t xml:space="preserve">Tumbuhnya  industrialiasi di perdesaan (desa wisata, sentra industri kerajinan, sentra industri olahan pangan dll),  memberikan angin baru terhadap tumbuhnya  perekonomian di beberapa desa. Sesuai dengan visi dan misi RPJMD tahun 2010-2015,  wilayah Kabupaten Gunungkidul  dalam dua tahun terakhir menunjukkan perkembangan yang menggembirakan sebagai daerah destinasi wisata . Pada saat hari libur maupun akhir pekan tempat-tempat wisata pantai dan di beberapa desa wisata yang sedang mekar, ramai dikunjungi oleh para wisatawan terutama dari luar wilayah Gunungkidul. </w:t>
      </w:r>
      <w:r w:rsidR="00AE1F53">
        <w:rPr>
          <w:rFonts w:ascii="Times New Roman" w:hAnsi="Times New Roman"/>
          <w:color w:val="000000" w:themeColor="text1"/>
          <w:sz w:val="24"/>
          <w:szCs w:val="24"/>
          <w:lang w:val="en-US" w:eastAsia="id-ID"/>
        </w:rPr>
        <w:t>Pemda Gunungkidul memperhatikan h</w:t>
      </w:r>
      <w:r w:rsidR="005540C8" w:rsidRPr="00AE1F53">
        <w:rPr>
          <w:rFonts w:ascii="Times New Roman" w:hAnsi="Times New Roman"/>
          <w:color w:val="000000" w:themeColor="text1"/>
          <w:sz w:val="24"/>
          <w:szCs w:val="24"/>
          <w:lang w:eastAsia="id-ID"/>
        </w:rPr>
        <w:t xml:space="preserve">asil penelitian IRE dan Bappeda Kabupaten Gunungkidul tahun 2012 </w:t>
      </w:r>
      <w:r w:rsidR="00AE1F53">
        <w:rPr>
          <w:rFonts w:ascii="Times New Roman" w:hAnsi="Times New Roman"/>
          <w:color w:val="000000" w:themeColor="text1"/>
          <w:sz w:val="24"/>
          <w:szCs w:val="24"/>
          <w:lang w:val="en-US" w:eastAsia="id-ID"/>
        </w:rPr>
        <w:t xml:space="preserve">yang </w:t>
      </w:r>
      <w:r w:rsidR="005540C8" w:rsidRPr="00AE1F53">
        <w:rPr>
          <w:rFonts w:ascii="Times New Roman" w:hAnsi="Times New Roman"/>
          <w:color w:val="000000" w:themeColor="text1"/>
          <w:sz w:val="24"/>
          <w:szCs w:val="24"/>
          <w:lang w:eastAsia="id-ID"/>
        </w:rPr>
        <w:t xml:space="preserve">menunjukkan bahwa pengelolaan desa wisata memberikan kontribusi yang sangat siginfikan terhadap perkembangan ekonomi di wilayah desa yang bersangkutan, mulai dari  bertambahnya lapangan kerja lokal, terbukanya peluang usaha perdagangan cinderamata maupun makanan. Kondisi yang demikian  membuka jalan yang lebih lebar bagi masyarakat desa untuk meningkatkan perekonomiannya sehingga dapat keluar dari masalah kemiskinan. Namun demikian potensi destinasi wisata saat ini baru direspon beberapa desa utamanya desa-desa yang mempunyai aset yang berhubungan dengan potensi alam (pantai, gua, dan sungai). Oleh sebab itu perlu dirumuskan kebijakan penggalian dan pengembangan potensi  ekonomi  di desa-desa lain, sehingga mampu berkembang sepertihalnya desa-desa yang sudah tumbuh berdasarkan aset dan potensi yang dimilikinya. Mengingat terbatasnya sumber daya manusia yang dimiliki tingkat desa untuk berperan menggali dan mengembangkan potensi yang dimiliki, maka Pemerintah Daerah Gunungkidul perlu menggandeng pihak ketiga (terutama lembaga perguruan tinggi maupun </w:t>
      </w:r>
      <w:r w:rsidR="005540C8" w:rsidRPr="00AE1F53">
        <w:rPr>
          <w:rFonts w:ascii="Times New Roman" w:hAnsi="Times New Roman"/>
          <w:color w:val="000000" w:themeColor="text1"/>
          <w:sz w:val="24"/>
          <w:szCs w:val="24"/>
          <w:lang w:eastAsia="id-ID"/>
        </w:rPr>
        <w:lastRenderedPageBreak/>
        <w:t>lembaga riset lainnya) melalui agenda risetnya menggali dan mengembangkan potensi ekonomi yang dimiliki desa.</w:t>
      </w:r>
    </w:p>
    <w:p w:rsidR="005540C8" w:rsidRPr="00AE1F53" w:rsidRDefault="005540C8" w:rsidP="00CB123A">
      <w:pPr>
        <w:tabs>
          <w:tab w:val="left" w:pos="851"/>
        </w:tabs>
        <w:spacing w:after="0" w:line="360" w:lineRule="auto"/>
        <w:ind w:firstLine="720"/>
        <w:jc w:val="both"/>
        <w:rPr>
          <w:rFonts w:ascii="Times New Roman" w:hAnsi="Times New Roman"/>
          <w:color w:val="000000" w:themeColor="text1"/>
          <w:sz w:val="24"/>
          <w:szCs w:val="24"/>
          <w:lang w:eastAsia="id-ID"/>
        </w:rPr>
      </w:pPr>
      <w:r w:rsidRPr="00AE1F53">
        <w:rPr>
          <w:rFonts w:ascii="Times New Roman" w:hAnsi="Times New Roman"/>
          <w:color w:val="000000" w:themeColor="text1"/>
          <w:sz w:val="24"/>
          <w:szCs w:val="24"/>
          <w:lang w:eastAsia="id-ID"/>
        </w:rPr>
        <w:t>Pengembangan industrialisasi perdesaan juga bisa dilakukan melalui penguatan dan pelatihan kewirausahaan pada masyarakat desa, agar mampu mengakses pasar. Masyarakat perlu diberikan pelatihan ketrampilan  sesuai dengan potensi yang dimiliki,  secara intensif dan berkesinambungan dengan  melibatkan peran dari berbagai unsur baik pemerintah (antar dan inter SKPD) maupun pihak swasta. Kaum perempuan sebagai penopang perekonomian keluarga perlu mendapatkan peran yang lebih besar dalam mengambil kesempatan pelatihan  ketrampilan serta  pengembangan kemampuan kewirausahaan, sehingga mampu memperbaiki taraf kehidupan di tingkat keluarganya.</w:t>
      </w:r>
    </w:p>
    <w:p w:rsidR="005540C8" w:rsidRPr="00AE1F53" w:rsidRDefault="00CD4CD3" w:rsidP="00CB123A">
      <w:pPr>
        <w:tabs>
          <w:tab w:val="left" w:pos="851"/>
        </w:tabs>
        <w:spacing w:after="0" w:line="360" w:lineRule="auto"/>
        <w:ind w:left="90" w:firstLine="630"/>
        <w:jc w:val="both"/>
        <w:rPr>
          <w:rFonts w:ascii="Times New Roman" w:hAnsi="Times New Roman"/>
          <w:color w:val="000000" w:themeColor="text1"/>
          <w:sz w:val="24"/>
          <w:szCs w:val="24"/>
          <w:lang w:eastAsia="id-ID"/>
        </w:rPr>
      </w:pPr>
      <w:r w:rsidRPr="00AE1F53">
        <w:rPr>
          <w:rFonts w:ascii="Times New Roman" w:hAnsi="Times New Roman"/>
          <w:color w:val="000000" w:themeColor="text1"/>
          <w:sz w:val="24"/>
          <w:szCs w:val="24"/>
          <w:lang w:val="en-US" w:eastAsia="id-ID"/>
        </w:rPr>
        <w:t xml:space="preserve">(4) </w:t>
      </w:r>
      <w:r w:rsidR="005540C8" w:rsidRPr="00AE1F53">
        <w:rPr>
          <w:rFonts w:ascii="Times New Roman" w:hAnsi="Times New Roman"/>
          <w:bCs/>
          <w:color w:val="000000" w:themeColor="text1"/>
          <w:sz w:val="24"/>
          <w:szCs w:val="24"/>
          <w:lang w:eastAsia="id-ID"/>
        </w:rPr>
        <w:t>Memperkuat institusi lokal menjadi energi positif dalam penanggulangan kemiskinan</w:t>
      </w:r>
      <w:r w:rsidRPr="00AE1F53">
        <w:rPr>
          <w:rFonts w:ascii="Times New Roman" w:hAnsi="Times New Roman"/>
          <w:b/>
          <w:bCs/>
          <w:color w:val="000000" w:themeColor="text1"/>
          <w:sz w:val="24"/>
          <w:szCs w:val="24"/>
          <w:lang w:val="en-US" w:eastAsia="id-ID"/>
        </w:rPr>
        <w:t xml:space="preserve">. </w:t>
      </w:r>
      <w:r w:rsidR="005540C8" w:rsidRPr="00AE1F53">
        <w:rPr>
          <w:rFonts w:ascii="Times New Roman" w:hAnsi="Times New Roman"/>
          <w:color w:val="000000" w:themeColor="text1"/>
          <w:sz w:val="24"/>
          <w:szCs w:val="24"/>
          <w:lang w:eastAsia="id-ID"/>
        </w:rPr>
        <w:t>Institusi lokal pada umumnya dipandang dalam dua bentuk yaitu organisasi lokal dan pranata sosial.  Sebagai organisasi, institusi lokal bisa berupa pemerintah desa-dusun, RT-RW, PKK, kelompok karang taruna, kelompok berbasis agama, kelompok berbasis adat, kelompok berbasis pekerjaan dan lain sebagainya. Sedangkan dalam bentuk pranata sosial, institusi lokal biasa dikenal dalam bentuk, gotong royong, sambatan, rasulan, hajatan dan lain-lainnya.</w:t>
      </w:r>
    </w:p>
    <w:p w:rsidR="005540C8" w:rsidRPr="00AE1F53" w:rsidRDefault="005540C8" w:rsidP="00CB123A">
      <w:pPr>
        <w:tabs>
          <w:tab w:val="left" w:pos="851"/>
        </w:tabs>
        <w:spacing w:after="0" w:line="360" w:lineRule="auto"/>
        <w:ind w:firstLine="720"/>
        <w:jc w:val="both"/>
        <w:rPr>
          <w:rFonts w:ascii="Times New Roman" w:hAnsi="Times New Roman"/>
          <w:color w:val="000000" w:themeColor="text1"/>
          <w:sz w:val="24"/>
          <w:szCs w:val="24"/>
          <w:lang w:eastAsia="id-ID"/>
        </w:rPr>
      </w:pPr>
      <w:r w:rsidRPr="00AE1F53">
        <w:rPr>
          <w:rFonts w:ascii="Times New Roman" w:hAnsi="Times New Roman"/>
          <w:color w:val="000000" w:themeColor="text1"/>
          <w:sz w:val="24"/>
          <w:szCs w:val="24"/>
          <w:lang w:eastAsia="id-ID"/>
        </w:rPr>
        <w:t>Meskipun keberadaan institusi sosial di Kabupaten Gunungkidul cukup beragam baik dari segi jumlah, jenis  dan distribusinya yang  merata di pelosok dusun, akan tetapai  sampai saat ini  fungsi intitusi sosial tersebut masih terkonsentrasi  pada kepentingan ikatan sosial (</w:t>
      </w:r>
      <w:r w:rsidRPr="00AE1F53">
        <w:rPr>
          <w:rFonts w:ascii="Times New Roman" w:hAnsi="Times New Roman"/>
          <w:i/>
          <w:iCs/>
          <w:color w:val="000000" w:themeColor="text1"/>
          <w:sz w:val="24"/>
          <w:szCs w:val="24"/>
          <w:lang w:eastAsia="id-ID"/>
        </w:rPr>
        <w:t>social bonding</w:t>
      </w:r>
      <w:r w:rsidRPr="00AE1F53">
        <w:rPr>
          <w:rFonts w:ascii="Times New Roman" w:hAnsi="Times New Roman"/>
          <w:color w:val="000000" w:themeColor="text1"/>
          <w:sz w:val="24"/>
          <w:szCs w:val="24"/>
          <w:lang w:eastAsia="id-ID"/>
        </w:rPr>
        <w:t xml:space="preserve">) saja. Oleh karena itu  perlu dirumuskan kebijakan baru, guna menata institusi sosial  untuk  bisa menjadi suatu energi positif dalam penanggulangan kemiskinan. Institusi lokal dalam bentuk organisasi telah menunjukkan kontribusinya menjadi agen </w:t>
      </w:r>
      <w:r w:rsidRPr="00AE1F53">
        <w:rPr>
          <w:rFonts w:ascii="Times New Roman" w:hAnsi="Times New Roman"/>
          <w:color w:val="000000" w:themeColor="text1"/>
          <w:sz w:val="24"/>
          <w:szCs w:val="24"/>
          <w:lang w:eastAsia="id-ID"/>
        </w:rPr>
        <w:lastRenderedPageBreak/>
        <w:t>membuka peluang kesempatan kerja bagi warganya, yang pada muaranya  juga akan berdampak pada peningkatan pendapatan keluarga.</w:t>
      </w:r>
    </w:p>
    <w:p w:rsidR="005540C8" w:rsidRPr="00AE1F53" w:rsidRDefault="00CD4CD3" w:rsidP="00CB123A">
      <w:pPr>
        <w:tabs>
          <w:tab w:val="left" w:pos="851"/>
        </w:tabs>
        <w:spacing w:after="0" w:line="360" w:lineRule="auto"/>
        <w:jc w:val="both"/>
        <w:rPr>
          <w:rFonts w:ascii="Times New Roman" w:hAnsi="Times New Roman"/>
          <w:color w:val="000000" w:themeColor="text1"/>
          <w:sz w:val="24"/>
          <w:szCs w:val="24"/>
          <w:lang w:eastAsia="id-ID"/>
        </w:rPr>
      </w:pPr>
      <w:r w:rsidRPr="00AE1F53">
        <w:rPr>
          <w:rFonts w:ascii="Times New Roman" w:hAnsi="Times New Roman"/>
          <w:color w:val="000000" w:themeColor="text1"/>
          <w:sz w:val="24"/>
          <w:szCs w:val="24"/>
          <w:lang w:val="en-US" w:eastAsia="id-ID"/>
        </w:rPr>
        <w:tab/>
      </w:r>
      <w:r w:rsidR="005540C8" w:rsidRPr="00AE1F53">
        <w:rPr>
          <w:rFonts w:ascii="Times New Roman" w:hAnsi="Times New Roman"/>
          <w:color w:val="000000" w:themeColor="text1"/>
          <w:sz w:val="24"/>
          <w:szCs w:val="24"/>
          <w:lang w:eastAsia="id-ID"/>
        </w:rPr>
        <w:t>Institusi lokal dalam bentuk pranata sosial yang  potensial  adalah kegiatan rasulan (bersih desa). Agenda rasulan merupakan kegiatan tahunan yang tetap lestari di setiap desa juga dinilai mampu menjadi kegiatan yang memberi dampak ekonomi bagi warga (misal kesempatan berdagang pada event rasulan). Tentunya potensi-potensi tersebut perlu di tata ulang agar tidak hanya menjadi kegiatan sementara (</w:t>
      </w:r>
      <w:r w:rsidR="005540C8" w:rsidRPr="00AE1F53">
        <w:rPr>
          <w:rFonts w:ascii="Times New Roman" w:hAnsi="Times New Roman"/>
          <w:i/>
          <w:color w:val="000000" w:themeColor="text1"/>
          <w:sz w:val="24"/>
          <w:szCs w:val="24"/>
          <w:lang w:eastAsia="id-ID"/>
        </w:rPr>
        <w:t>temporary event</w:t>
      </w:r>
      <w:r w:rsidR="005540C8" w:rsidRPr="00AE1F53">
        <w:rPr>
          <w:rFonts w:ascii="Times New Roman" w:hAnsi="Times New Roman"/>
          <w:color w:val="000000" w:themeColor="text1"/>
          <w:sz w:val="24"/>
          <w:szCs w:val="24"/>
          <w:lang w:eastAsia="id-ID"/>
        </w:rPr>
        <w:t>) tetapi  agar mampu berkembang sebagai aset budaya bahkan dikelola menjadi  aset wisata strategis dalam  rangka pemberdayaan dan  pembangunan desa.</w:t>
      </w:r>
    </w:p>
    <w:p w:rsidR="005540C8" w:rsidRPr="00AE1F53" w:rsidRDefault="00CD4CD3" w:rsidP="00CB123A">
      <w:pPr>
        <w:tabs>
          <w:tab w:val="left" w:pos="851"/>
        </w:tabs>
        <w:spacing w:after="0" w:line="360" w:lineRule="auto"/>
        <w:jc w:val="both"/>
        <w:rPr>
          <w:rFonts w:ascii="Times New Roman" w:hAnsi="Times New Roman"/>
          <w:color w:val="000000" w:themeColor="text1"/>
          <w:sz w:val="24"/>
          <w:szCs w:val="24"/>
          <w:lang w:eastAsia="id-ID"/>
        </w:rPr>
      </w:pPr>
      <w:r w:rsidRPr="00AE1F53">
        <w:rPr>
          <w:rFonts w:ascii="Times New Roman" w:hAnsi="Times New Roman"/>
          <w:color w:val="000000" w:themeColor="text1"/>
          <w:sz w:val="24"/>
          <w:szCs w:val="24"/>
          <w:lang w:val="en-US" w:eastAsia="id-ID"/>
        </w:rPr>
        <w:tab/>
      </w:r>
      <w:r w:rsidR="005540C8" w:rsidRPr="00AE1F53">
        <w:rPr>
          <w:rFonts w:ascii="Times New Roman" w:hAnsi="Times New Roman"/>
          <w:color w:val="000000" w:themeColor="text1"/>
          <w:sz w:val="24"/>
          <w:szCs w:val="24"/>
          <w:lang w:eastAsia="id-ID"/>
        </w:rPr>
        <w:t>Tradisi nyumbang pada keluarga yang mempunyai hajatan ( sunatan, pernikahan dll) juga merupakan bentuk pranata sosial yang telah diwariskan secara turun temurun hingga tetap lestari. Tradisi nyumbang merupakan salah satu manifestasi kehidupan bermasyarakat untuk saling bergotongroyong diantara keluarga satu dengan yang lain yang mempunyai kepentingan (kerepotan).  Persoalan menjadi muncul terutama bagi warga miskin yang harus berhutang agar bisa ikut nyumbang. Pada satu sisi keterbatasan pendapatan membuat warga miskin keberatan dengan ” keharusan” mengeluarkan uang, di sisi lain jika tidak terlibat dalam aktivitas nyumbang ada kekhawatiran tereksklusi secara sosial. Oleh karena itu perlu suatu terobosan dan keberanian kebijakan untuk melakukan rasionalisasi atas tradisi lokal yang ada, bukan untuk menghilangkan tradisi tersebut tetapi mengkaji ulang tradisi yang ada sehingga tetap bermanfaat sesuai situasi kekinian.</w:t>
      </w:r>
    </w:p>
    <w:p w:rsidR="005540C8" w:rsidRPr="00AE1F53" w:rsidRDefault="005540C8" w:rsidP="00CB123A">
      <w:pPr>
        <w:pStyle w:val="ListParagraph"/>
        <w:numPr>
          <w:ilvl w:val="0"/>
          <w:numId w:val="16"/>
        </w:numPr>
        <w:tabs>
          <w:tab w:val="left" w:pos="0"/>
          <w:tab w:val="left" w:pos="1170"/>
        </w:tabs>
        <w:spacing w:after="0" w:line="360" w:lineRule="auto"/>
        <w:ind w:left="90" w:firstLine="630"/>
        <w:jc w:val="both"/>
        <w:rPr>
          <w:rFonts w:ascii="Times New Roman" w:hAnsi="Times New Roman"/>
          <w:color w:val="000000" w:themeColor="text1"/>
          <w:sz w:val="24"/>
          <w:szCs w:val="24"/>
          <w:lang w:eastAsia="id-ID"/>
        </w:rPr>
      </w:pPr>
      <w:r w:rsidRPr="00AE1F53">
        <w:rPr>
          <w:rFonts w:ascii="Times New Roman" w:hAnsi="Times New Roman"/>
          <w:bCs/>
          <w:color w:val="000000" w:themeColor="text1"/>
          <w:sz w:val="24"/>
          <w:szCs w:val="24"/>
          <w:lang w:eastAsia="id-ID"/>
        </w:rPr>
        <w:t>Penguatan kelembagaan penanggulangan kemiskinan</w:t>
      </w:r>
      <w:r w:rsidR="00CD4CD3" w:rsidRPr="00AE1F53">
        <w:rPr>
          <w:rFonts w:ascii="Times New Roman" w:hAnsi="Times New Roman"/>
          <w:b/>
          <w:bCs/>
          <w:color w:val="000000" w:themeColor="text1"/>
          <w:sz w:val="24"/>
          <w:szCs w:val="24"/>
          <w:lang w:val="en-US" w:eastAsia="id-ID"/>
        </w:rPr>
        <w:t xml:space="preserve">. </w:t>
      </w:r>
      <w:r w:rsidRPr="00AE1F53">
        <w:rPr>
          <w:rFonts w:ascii="Times New Roman" w:hAnsi="Times New Roman"/>
          <w:color w:val="000000" w:themeColor="text1"/>
          <w:sz w:val="24"/>
          <w:szCs w:val="24"/>
          <w:lang w:eastAsia="id-ID"/>
        </w:rPr>
        <w:t>Meskipun masalah kemiskina</w:t>
      </w:r>
      <w:r w:rsidR="00AE1F53">
        <w:rPr>
          <w:rFonts w:ascii="Times New Roman" w:hAnsi="Times New Roman"/>
          <w:color w:val="000000" w:themeColor="text1"/>
          <w:sz w:val="24"/>
          <w:szCs w:val="24"/>
          <w:lang w:eastAsia="id-ID"/>
        </w:rPr>
        <w:t>n merupakan masalah yang komple</w:t>
      </w:r>
      <w:r w:rsidRPr="00AE1F53">
        <w:rPr>
          <w:rFonts w:ascii="Times New Roman" w:hAnsi="Times New Roman"/>
          <w:color w:val="000000" w:themeColor="text1"/>
          <w:sz w:val="24"/>
          <w:szCs w:val="24"/>
          <w:lang w:eastAsia="id-ID"/>
        </w:rPr>
        <w:t>k</w:t>
      </w:r>
      <w:r w:rsidR="00AE1F53">
        <w:rPr>
          <w:rFonts w:ascii="Times New Roman" w:hAnsi="Times New Roman"/>
          <w:color w:val="000000" w:themeColor="text1"/>
          <w:sz w:val="24"/>
          <w:szCs w:val="24"/>
          <w:lang w:val="en-US" w:eastAsia="id-ID"/>
        </w:rPr>
        <w:t>s</w:t>
      </w:r>
      <w:r w:rsidRPr="00AE1F53">
        <w:rPr>
          <w:rFonts w:ascii="Times New Roman" w:hAnsi="Times New Roman"/>
          <w:color w:val="000000" w:themeColor="text1"/>
          <w:sz w:val="24"/>
          <w:szCs w:val="24"/>
          <w:lang w:eastAsia="id-ID"/>
        </w:rPr>
        <w:t xml:space="preserve"> dan merupakan masalah nasional hingga daerah, namun  lembaga yang menangani kemiskinan belum  ada yang definitif. Tim Koordinasi  Penanggulangan Kemiskinan  yang merupakan lembaga </w:t>
      </w:r>
      <w:r w:rsidRPr="00AE1F53">
        <w:rPr>
          <w:rFonts w:ascii="Times New Roman" w:hAnsi="Times New Roman"/>
          <w:i/>
          <w:color w:val="000000" w:themeColor="text1"/>
          <w:sz w:val="24"/>
          <w:szCs w:val="24"/>
          <w:lang w:eastAsia="id-ID"/>
        </w:rPr>
        <w:t>adhoc</w:t>
      </w:r>
      <w:r w:rsidRPr="00AE1F53">
        <w:rPr>
          <w:rFonts w:ascii="Times New Roman" w:hAnsi="Times New Roman"/>
          <w:color w:val="000000" w:themeColor="text1"/>
          <w:sz w:val="24"/>
          <w:szCs w:val="24"/>
          <w:lang w:eastAsia="id-ID"/>
        </w:rPr>
        <w:t xml:space="preserve"> belum mampu memperankan fungsi utama sebagai </w:t>
      </w:r>
      <w:r w:rsidRPr="00AE1F53">
        <w:rPr>
          <w:rFonts w:ascii="Times New Roman" w:hAnsi="Times New Roman"/>
          <w:color w:val="000000" w:themeColor="text1"/>
          <w:sz w:val="24"/>
          <w:szCs w:val="24"/>
          <w:lang w:eastAsia="id-ID"/>
        </w:rPr>
        <w:lastRenderedPageBreak/>
        <w:t>koordinator penanggulangan kemiskinan di daerah. Agar penanggungan kemiskinan lebih ter</w:t>
      </w:r>
      <w:r w:rsidR="00AE1F53">
        <w:rPr>
          <w:rFonts w:ascii="Times New Roman" w:hAnsi="Times New Roman"/>
          <w:color w:val="000000" w:themeColor="text1"/>
          <w:sz w:val="24"/>
          <w:szCs w:val="24"/>
          <w:lang w:eastAsia="id-ID"/>
        </w:rPr>
        <w:t>arah dan bersinergi antar stake</w:t>
      </w:r>
      <w:r w:rsidRPr="00AE1F53">
        <w:rPr>
          <w:rFonts w:ascii="Times New Roman" w:hAnsi="Times New Roman"/>
          <w:color w:val="000000" w:themeColor="text1"/>
          <w:sz w:val="24"/>
          <w:szCs w:val="24"/>
          <w:lang w:eastAsia="id-ID"/>
        </w:rPr>
        <w:t xml:space="preserve">holder yg terkait, maka </w:t>
      </w:r>
      <w:r w:rsidR="00AE1F53">
        <w:rPr>
          <w:rFonts w:ascii="Times New Roman" w:hAnsi="Times New Roman"/>
          <w:color w:val="000000" w:themeColor="text1"/>
          <w:sz w:val="24"/>
          <w:szCs w:val="24"/>
          <w:lang w:val="en-US" w:eastAsia="id-ID"/>
        </w:rPr>
        <w:t xml:space="preserve">Pemda Gununkidul akan melakukan </w:t>
      </w:r>
      <w:r w:rsidRPr="00AE1F53">
        <w:rPr>
          <w:rFonts w:ascii="Times New Roman" w:hAnsi="Times New Roman"/>
          <w:color w:val="000000" w:themeColor="text1"/>
          <w:sz w:val="24"/>
          <w:szCs w:val="24"/>
          <w:lang w:eastAsia="id-ID"/>
        </w:rPr>
        <w:t xml:space="preserve">revitalisasi TKPD </w:t>
      </w:r>
      <w:r w:rsidR="00AE1F53">
        <w:rPr>
          <w:rFonts w:ascii="Times New Roman" w:hAnsi="Times New Roman"/>
          <w:color w:val="000000" w:themeColor="text1"/>
          <w:sz w:val="24"/>
          <w:szCs w:val="24"/>
          <w:lang w:val="en-US" w:eastAsia="id-ID"/>
        </w:rPr>
        <w:t>sehingga natinya</w:t>
      </w:r>
      <w:r w:rsidRPr="00AE1F53">
        <w:rPr>
          <w:rFonts w:ascii="Times New Roman" w:hAnsi="Times New Roman"/>
          <w:color w:val="000000" w:themeColor="text1"/>
          <w:sz w:val="24"/>
          <w:szCs w:val="24"/>
          <w:lang w:eastAsia="id-ID"/>
        </w:rPr>
        <w:t xml:space="preserve"> lebih mampu memfungsikan perannya sesuai dengan amanat Perpres nomor 15 tahun 2010 dan peremndagri nomor 43 tahun 2010.</w:t>
      </w:r>
    </w:p>
    <w:p w:rsidR="005540C8" w:rsidRPr="00AE1F53" w:rsidRDefault="00CD4CD3" w:rsidP="00CB123A">
      <w:pPr>
        <w:spacing w:after="0" w:line="360" w:lineRule="auto"/>
        <w:ind w:firstLine="720"/>
        <w:jc w:val="both"/>
        <w:rPr>
          <w:rFonts w:ascii="Times New Roman" w:hAnsi="Times New Roman"/>
          <w:color w:val="000000" w:themeColor="text1"/>
          <w:sz w:val="24"/>
          <w:szCs w:val="24"/>
          <w:lang w:eastAsia="id-ID"/>
        </w:rPr>
      </w:pPr>
      <w:r w:rsidRPr="00AE1F53">
        <w:rPr>
          <w:rFonts w:ascii="Times New Roman" w:hAnsi="Times New Roman"/>
          <w:color w:val="000000" w:themeColor="text1"/>
          <w:sz w:val="24"/>
          <w:szCs w:val="24"/>
          <w:lang w:val="en-US" w:eastAsia="id-ID"/>
        </w:rPr>
        <w:t>Pemda Gunungkidul juga berpandangan bahwasannya p</w:t>
      </w:r>
      <w:r w:rsidR="005540C8" w:rsidRPr="00AE1F53">
        <w:rPr>
          <w:rFonts w:ascii="Times New Roman" w:hAnsi="Times New Roman"/>
          <w:color w:val="000000" w:themeColor="text1"/>
          <w:sz w:val="24"/>
          <w:szCs w:val="24"/>
          <w:lang w:eastAsia="id-ID"/>
        </w:rPr>
        <w:t xml:space="preserve">enanggulangan kemiskinan juga perlu mensinergikan dan membuka peran yang lebih besar kontribusi camat dan jajarannya di wilayah kecamatan serta pemerintahan desa. Penguatan kelembagaan sebagai kepanjangan TKPK di tingkat kecamatan dan desa menjadi  alternatif yang perlu dirumuskan dan diimplementasikan. Pemerintahan desa adalah lembaga yang paling dekat dengan masyarakat sehingga mereka lebih banyak memahami permasalahan kemiskinan secara riil. Oleh karena itu harus dirumuskan kebijakan pemberian peran yang lebih besar kepada  pemerintahan desa dengan melibatkan berbagai komponen yang ada di tingkat desa guna merumuskan kebijakan yang lebih operasional dalam rangka penanggulangan kemiskinan.  </w:t>
      </w:r>
    </w:p>
    <w:p w:rsidR="005540C8" w:rsidRPr="00AE1F53" w:rsidRDefault="005540C8" w:rsidP="00CB123A">
      <w:pPr>
        <w:spacing w:after="0" w:line="360" w:lineRule="auto"/>
        <w:ind w:firstLine="720"/>
        <w:jc w:val="both"/>
        <w:rPr>
          <w:rFonts w:ascii="Times New Roman" w:hAnsi="Times New Roman"/>
          <w:sz w:val="24"/>
          <w:szCs w:val="24"/>
        </w:rPr>
      </w:pPr>
      <w:r w:rsidRPr="00AE1F53">
        <w:rPr>
          <w:rFonts w:ascii="Times New Roman" w:hAnsi="Times New Roman"/>
          <w:sz w:val="24"/>
          <w:szCs w:val="24"/>
          <w:lang w:eastAsia="id-ID"/>
        </w:rPr>
        <w:t>Pada dasarnya di tingkat desa</w:t>
      </w:r>
      <w:r w:rsidRPr="00AE1F53">
        <w:rPr>
          <w:rFonts w:ascii="Times New Roman" w:hAnsi="Times New Roman"/>
          <w:sz w:val="24"/>
          <w:szCs w:val="24"/>
        </w:rPr>
        <w:t xml:space="preserve"> saat ini dikenal ada lima  kelembagaan masyarakat, yakni: Lembaga Pemberdayaan Masyarakat Desa (LPMD), Pemberdayaan Kesejahteraan Keluarga (PKK), Karang Taruna dan Kader Pembangunan Masyarakat, serta Badan Keswadayaan Masyarakat (BKM) yang terdapat di 24 Desa yang menyebar di 18 Kecamatan di Kabupaten Gunungkidul.</w:t>
      </w:r>
    </w:p>
    <w:p w:rsidR="005540C8" w:rsidRPr="00AE1F53" w:rsidRDefault="005540C8" w:rsidP="00CB123A">
      <w:pPr>
        <w:autoSpaceDE w:val="0"/>
        <w:autoSpaceDN w:val="0"/>
        <w:adjustRightInd w:val="0"/>
        <w:spacing w:after="0" w:line="360" w:lineRule="auto"/>
        <w:ind w:firstLine="720"/>
        <w:jc w:val="both"/>
        <w:rPr>
          <w:rFonts w:ascii="Times New Roman" w:hAnsi="Times New Roman"/>
          <w:sz w:val="24"/>
          <w:szCs w:val="24"/>
        </w:rPr>
      </w:pPr>
      <w:r w:rsidRPr="00AE1F53">
        <w:rPr>
          <w:rFonts w:ascii="Times New Roman" w:hAnsi="Times New Roman"/>
          <w:sz w:val="24"/>
          <w:szCs w:val="24"/>
        </w:rPr>
        <w:t xml:space="preserve">Dari segi kelengkapan unsur sebuah organisasi, BKM dipandang memiliki legitimasi yang lebih kuat sebagai lembaga kemasyarakatan yang dibentuk dan dipersiapkan secara khusus sebagai motor penanggulangan kemiskinan di tingkat desa. Antara lain telah  memiliki AD/ ART yang telah di akta notariskan, visi dan misi BKM juga disusun dan direview sesuai dengan kondisi, karakteristik, dan kebutuhan masing-masing wilayah. Keterlibatan auditor independen dalam mengaudit pembukuan keuangan dan pengelolaan kegiatan telah di lakukan BKM </w:t>
      </w:r>
      <w:r w:rsidRPr="00AE1F53">
        <w:rPr>
          <w:rFonts w:ascii="Times New Roman" w:hAnsi="Times New Roman"/>
          <w:sz w:val="24"/>
          <w:szCs w:val="24"/>
        </w:rPr>
        <w:lastRenderedPageBreak/>
        <w:t>dalam menjaga prinsip transparansi guna membangun kepercayaan masyarakat dari pihak luar. RWT sebagai forum musyawarah pengambil keputusan tertinggi di BKM, legitimasinya sepenuhnya berada ditangan warga masyarakat dan bukan lagi anggota BKM .</w:t>
      </w:r>
    </w:p>
    <w:p w:rsidR="005540C8" w:rsidRPr="00AE1F53" w:rsidRDefault="005540C8" w:rsidP="00CB123A">
      <w:pPr>
        <w:autoSpaceDE w:val="0"/>
        <w:autoSpaceDN w:val="0"/>
        <w:adjustRightInd w:val="0"/>
        <w:spacing w:after="0" w:line="360" w:lineRule="auto"/>
        <w:ind w:firstLine="720"/>
        <w:jc w:val="both"/>
        <w:rPr>
          <w:rFonts w:ascii="Times New Roman" w:hAnsi="Times New Roman"/>
          <w:sz w:val="24"/>
          <w:szCs w:val="24"/>
        </w:rPr>
      </w:pPr>
      <w:r w:rsidRPr="00AE1F53">
        <w:rPr>
          <w:rFonts w:ascii="Times New Roman" w:hAnsi="Times New Roman"/>
          <w:sz w:val="24"/>
          <w:szCs w:val="24"/>
        </w:rPr>
        <w:t>Hal lain yang membedakan dalam manajemen kelembagaan BKM adalah pola kepemimpinan kolektif dengan prinsip kesetaraan hak dan kewajiban diantara sesama anggotanya,serta sifat keanggotaannya yang bersifat relawan yang dipilih langsung oleh masyarkat tanpa melalui pencalonan dan kampanye. Kolektifitas kepemimpinan ini penting dalam rangka memperkuat kemampuan individu untuk dapat menghasilkan dan mengambil keputusan yang lebih adil dan bijaksana.</w:t>
      </w:r>
    </w:p>
    <w:p w:rsidR="005540C8" w:rsidRPr="00AE1F53" w:rsidRDefault="005540C8" w:rsidP="00CB123A">
      <w:pPr>
        <w:spacing w:after="0" w:line="360" w:lineRule="auto"/>
        <w:ind w:firstLine="720"/>
        <w:jc w:val="both"/>
        <w:rPr>
          <w:rFonts w:ascii="Times New Roman" w:hAnsi="Times New Roman"/>
          <w:sz w:val="24"/>
          <w:szCs w:val="24"/>
          <w:lang w:val="en-US" w:eastAsia="id-ID"/>
        </w:rPr>
      </w:pPr>
      <w:r w:rsidRPr="00AE1F53">
        <w:rPr>
          <w:rFonts w:ascii="Times New Roman" w:hAnsi="Times New Roman"/>
          <w:sz w:val="24"/>
          <w:szCs w:val="24"/>
          <w:lang w:eastAsia="id-ID"/>
        </w:rPr>
        <w:t>Model kelembagaan dalam penanggulangan kemiskinan seperti</w:t>
      </w:r>
      <w:r w:rsidR="00AE1F53">
        <w:rPr>
          <w:rFonts w:ascii="Times New Roman" w:hAnsi="Times New Roman"/>
          <w:sz w:val="24"/>
          <w:szCs w:val="24"/>
          <w:lang w:val="en-US" w:eastAsia="id-ID"/>
        </w:rPr>
        <w:t xml:space="preserve"> </w:t>
      </w:r>
      <w:r w:rsidRPr="00AE1F53">
        <w:rPr>
          <w:rFonts w:ascii="Times New Roman" w:hAnsi="Times New Roman"/>
          <w:sz w:val="24"/>
          <w:szCs w:val="24"/>
          <w:lang w:eastAsia="id-ID"/>
        </w:rPr>
        <w:t>halnya BKM,</w:t>
      </w:r>
      <w:r w:rsidR="00AE1F53">
        <w:rPr>
          <w:rFonts w:ascii="Times New Roman" w:hAnsi="Times New Roman"/>
          <w:sz w:val="24"/>
          <w:szCs w:val="24"/>
          <w:lang w:val="en-US" w:eastAsia="id-ID"/>
        </w:rPr>
        <w:t xml:space="preserve">bagi Pemda Gunungkidul merasa </w:t>
      </w:r>
      <w:r w:rsidRPr="00AE1F53">
        <w:rPr>
          <w:rFonts w:ascii="Times New Roman" w:hAnsi="Times New Roman"/>
          <w:sz w:val="24"/>
          <w:szCs w:val="24"/>
          <w:lang w:eastAsia="id-ID"/>
        </w:rPr>
        <w:t xml:space="preserve">perlu </w:t>
      </w:r>
      <w:r w:rsidR="00AE1F53">
        <w:rPr>
          <w:rFonts w:ascii="Times New Roman" w:hAnsi="Times New Roman"/>
          <w:sz w:val="24"/>
          <w:szCs w:val="24"/>
          <w:lang w:val="en-US" w:eastAsia="id-ID"/>
        </w:rPr>
        <w:t xml:space="preserve">untuk terus </w:t>
      </w:r>
      <w:r w:rsidRPr="00AE1F53">
        <w:rPr>
          <w:rFonts w:ascii="Times New Roman" w:hAnsi="Times New Roman"/>
          <w:sz w:val="24"/>
          <w:szCs w:val="24"/>
          <w:lang w:eastAsia="id-ID"/>
        </w:rPr>
        <w:t>dilanjutkan dan dikembangkan di desa-desa yang lain. Hal yang paling penting dari model kelembagaan BKM adalah strategi penanggulangan kemiskinan di tingkat desa yang lebih operasional dan memperhatikan aspek permasalahan dan kondisi masyarakat.</w:t>
      </w:r>
      <w:r w:rsidR="00AE1F53">
        <w:rPr>
          <w:rFonts w:ascii="Times New Roman" w:hAnsi="Times New Roman"/>
          <w:sz w:val="24"/>
          <w:szCs w:val="24"/>
          <w:lang w:val="en-US" w:eastAsia="id-ID"/>
        </w:rPr>
        <w:t xml:space="preserve"> Dihaharapkan nantinya BKM ini dapat menjadi ujung tombak pengorganisasian warga dalam mengatasi problem kemiskinan.</w:t>
      </w:r>
    </w:p>
    <w:p w:rsidR="005540C8" w:rsidRPr="00AE1F53" w:rsidRDefault="005540C8" w:rsidP="00CB123A">
      <w:pPr>
        <w:spacing w:after="0" w:line="360" w:lineRule="auto"/>
        <w:jc w:val="both"/>
        <w:rPr>
          <w:rFonts w:ascii="Times New Roman" w:hAnsi="Times New Roman"/>
          <w:sz w:val="24"/>
          <w:szCs w:val="24"/>
          <w:lang w:val="en-US"/>
        </w:rPr>
      </w:pPr>
    </w:p>
    <w:p w:rsidR="005540C8" w:rsidRPr="00AE1F53" w:rsidRDefault="005540C8" w:rsidP="00CB123A">
      <w:pPr>
        <w:spacing w:after="0" w:line="360" w:lineRule="auto"/>
        <w:jc w:val="both"/>
        <w:rPr>
          <w:rFonts w:ascii="Times New Roman" w:hAnsi="Times New Roman"/>
          <w:sz w:val="24"/>
          <w:szCs w:val="24"/>
          <w:lang w:val="en-US"/>
        </w:rPr>
      </w:pPr>
    </w:p>
    <w:p w:rsidR="0059784A" w:rsidRPr="00AE1F53" w:rsidRDefault="0059784A" w:rsidP="00CB123A">
      <w:pPr>
        <w:spacing w:after="0" w:line="360" w:lineRule="auto"/>
        <w:jc w:val="both"/>
        <w:rPr>
          <w:rFonts w:ascii="Times New Roman" w:hAnsi="Times New Roman"/>
          <w:sz w:val="24"/>
          <w:szCs w:val="24"/>
        </w:rPr>
      </w:pPr>
    </w:p>
    <w:p w:rsidR="00E6000D" w:rsidRPr="00AE1F53" w:rsidRDefault="00E6000D" w:rsidP="00CB123A">
      <w:pPr>
        <w:spacing w:after="0" w:line="360" w:lineRule="auto"/>
        <w:jc w:val="both"/>
        <w:rPr>
          <w:rFonts w:ascii="Times New Roman" w:hAnsi="Times New Roman"/>
          <w:sz w:val="24"/>
          <w:szCs w:val="24"/>
          <w:lang w:val="en-US"/>
        </w:rPr>
      </w:pPr>
    </w:p>
    <w:p w:rsidR="00E6000D" w:rsidRPr="00AE1F53" w:rsidRDefault="00E6000D" w:rsidP="00CB123A">
      <w:pPr>
        <w:spacing w:after="0" w:line="360" w:lineRule="auto"/>
        <w:jc w:val="both"/>
        <w:rPr>
          <w:rFonts w:ascii="Times New Roman" w:hAnsi="Times New Roman"/>
          <w:sz w:val="24"/>
          <w:szCs w:val="24"/>
          <w:lang w:val="en-US"/>
        </w:rPr>
      </w:pPr>
    </w:p>
    <w:p w:rsidR="00BE475A" w:rsidRPr="00AE1F53" w:rsidRDefault="00BE475A" w:rsidP="00CB123A">
      <w:pPr>
        <w:spacing w:after="0" w:line="360" w:lineRule="auto"/>
        <w:jc w:val="both"/>
        <w:rPr>
          <w:rFonts w:ascii="Times New Roman" w:hAnsi="Times New Roman"/>
          <w:sz w:val="24"/>
          <w:szCs w:val="24"/>
          <w:lang w:val="en-US"/>
        </w:rPr>
      </w:pPr>
    </w:p>
    <w:p w:rsidR="00BE475A" w:rsidRPr="00AE1F53" w:rsidRDefault="00BE475A" w:rsidP="00CB123A">
      <w:pPr>
        <w:spacing w:after="0" w:line="360" w:lineRule="auto"/>
        <w:jc w:val="both"/>
        <w:rPr>
          <w:rFonts w:ascii="Times New Roman" w:hAnsi="Times New Roman"/>
          <w:sz w:val="24"/>
          <w:szCs w:val="24"/>
          <w:lang w:val="en-US"/>
        </w:rPr>
      </w:pPr>
    </w:p>
    <w:p w:rsidR="00BE475A" w:rsidRPr="00AE1F53" w:rsidRDefault="00BE475A" w:rsidP="00CB123A">
      <w:pPr>
        <w:spacing w:after="0" w:line="360" w:lineRule="auto"/>
        <w:jc w:val="both"/>
        <w:rPr>
          <w:rFonts w:ascii="Times New Roman" w:hAnsi="Times New Roman"/>
          <w:sz w:val="24"/>
          <w:szCs w:val="24"/>
          <w:lang w:val="en-US"/>
        </w:rPr>
      </w:pPr>
    </w:p>
    <w:p w:rsidR="00BE475A" w:rsidRPr="00AE1F53" w:rsidRDefault="00BE475A" w:rsidP="00CB123A">
      <w:pPr>
        <w:spacing w:after="0" w:line="360" w:lineRule="auto"/>
        <w:jc w:val="both"/>
        <w:rPr>
          <w:rFonts w:ascii="Times New Roman" w:hAnsi="Times New Roman"/>
          <w:sz w:val="24"/>
          <w:szCs w:val="24"/>
          <w:lang w:val="en-US"/>
        </w:rPr>
      </w:pPr>
    </w:p>
    <w:p w:rsidR="00E6000D" w:rsidRPr="00AE1F53" w:rsidRDefault="00E6000D" w:rsidP="00CB123A">
      <w:pPr>
        <w:spacing w:after="0" w:line="360" w:lineRule="auto"/>
        <w:jc w:val="both"/>
        <w:rPr>
          <w:rFonts w:ascii="Times New Roman" w:hAnsi="Times New Roman"/>
          <w:sz w:val="24"/>
          <w:szCs w:val="24"/>
          <w:lang w:val="en-US"/>
        </w:rPr>
      </w:pPr>
    </w:p>
    <w:sectPr w:rsidR="00E6000D" w:rsidRPr="00AE1F53" w:rsidSect="00354F8A">
      <w:footerReference w:type="default" r:id="rId9"/>
      <w:pgSz w:w="12240" w:h="15840"/>
      <w:pgMar w:top="2448" w:right="1872" w:bottom="1872" w:left="2448" w:header="720" w:footer="10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75F" w:rsidRDefault="0071475F" w:rsidP="00090E97">
      <w:pPr>
        <w:spacing w:after="0" w:line="240" w:lineRule="auto"/>
      </w:pPr>
      <w:r>
        <w:separator/>
      </w:r>
    </w:p>
  </w:endnote>
  <w:endnote w:type="continuationSeparator" w:id="1">
    <w:p w:rsidR="0071475F" w:rsidRDefault="0071475F" w:rsidP="00090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79073"/>
      <w:docPartObj>
        <w:docPartGallery w:val="Page Numbers (Bottom of Page)"/>
        <w:docPartUnique/>
      </w:docPartObj>
    </w:sdtPr>
    <w:sdtContent>
      <w:p w:rsidR="00354F8A" w:rsidRDefault="00354F8A">
        <w:pPr>
          <w:pStyle w:val="Footer"/>
          <w:jc w:val="center"/>
        </w:pPr>
        <w:fldSimple w:instr=" PAGE   \* MERGEFORMAT ">
          <w:r>
            <w:rPr>
              <w:noProof/>
            </w:rPr>
            <w:t>34</w:t>
          </w:r>
        </w:fldSimple>
      </w:p>
    </w:sdtContent>
  </w:sdt>
  <w:p w:rsidR="00354F8A" w:rsidRDefault="00354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75F" w:rsidRDefault="0071475F" w:rsidP="00090E97">
      <w:pPr>
        <w:spacing w:after="0" w:line="240" w:lineRule="auto"/>
      </w:pPr>
      <w:r>
        <w:separator/>
      </w:r>
    </w:p>
  </w:footnote>
  <w:footnote w:type="continuationSeparator" w:id="1">
    <w:p w:rsidR="0071475F" w:rsidRDefault="0071475F" w:rsidP="00090E97">
      <w:pPr>
        <w:spacing w:after="0" w:line="240" w:lineRule="auto"/>
      </w:pPr>
      <w:r>
        <w:continuationSeparator/>
      </w:r>
    </w:p>
  </w:footnote>
  <w:footnote w:id="2">
    <w:p w:rsidR="00BE475A" w:rsidRPr="00BE475A" w:rsidRDefault="00BE475A">
      <w:pPr>
        <w:pStyle w:val="FootnoteText"/>
        <w:rPr>
          <w:lang w:val="en-US"/>
        </w:rPr>
      </w:pPr>
      <w:r>
        <w:rPr>
          <w:rStyle w:val="FootnoteReference"/>
        </w:rPr>
        <w:footnoteRef/>
      </w:r>
      <w:r>
        <w:t xml:space="preserve"> </w:t>
      </w:r>
      <w:r>
        <w:rPr>
          <w:lang w:val="en-US"/>
        </w:rPr>
        <w:t xml:space="preserve">Pada bagian ini mengacu pada </w:t>
      </w:r>
      <w:r w:rsidRPr="00BE475A">
        <w:rPr>
          <w:rFonts w:asciiTheme="minorHAnsi" w:hAnsiTheme="minorHAnsi" w:cstheme="minorHAnsi"/>
          <w:color w:val="000000" w:themeColor="text1"/>
          <w:lang w:eastAsia="id-ID"/>
        </w:rPr>
        <w:t>strategi penanggulangan kemiskinan di Kabupaten Gunungkidul sebagai pijakan program tahun 2012-2015</w:t>
      </w:r>
      <w:r>
        <w:rPr>
          <w:rFonts w:asciiTheme="minorHAnsi" w:hAnsiTheme="minorHAnsi" w:cstheme="minorHAnsi"/>
          <w:color w:val="000000" w:themeColor="text1"/>
          <w:sz w:val="24"/>
          <w:szCs w:val="24"/>
          <w:lang w:val="en-US" w:eastAsia="id-ID"/>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1985"/>
    <w:multiLevelType w:val="hybridMultilevel"/>
    <w:tmpl w:val="4E5C7C06"/>
    <w:lvl w:ilvl="0" w:tplc="ACFA6DE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D5486"/>
    <w:multiLevelType w:val="multilevel"/>
    <w:tmpl w:val="C93A5F14"/>
    <w:lvl w:ilvl="0">
      <w:start w:val="2"/>
      <w:numFmt w:val="decimal"/>
      <w:lvlText w:val="%1."/>
      <w:lvlJc w:val="left"/>
      <w:pPr>
        <w:ind w:left="540" w:hanging="540"/>
      </w:pPr>
      <w:rPr>
        <w:rFonts w:hint="default"/>
      </w:rPr>
    </w:lvl>
    <w:lvl w:ilvl="1">
      <w:start w:val="2"/>
      <w:numFmt w:val="decimal"/>
      <w:lvlText w:val="%1.%2."/>
      <w:lvlJc w:val="left"/>
      <w:pPr>
        <w:ind w:left="1144" w:hanging="72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192" w:hanging="1800"/>
      </w:pPr>
      <w:rPr>
        <w:rFonts w:hint="default"/>
      </w:rPr>
    </w:lvl>
  </w:abstractNum>
  <w:abstractNum w:abstractNumId="2">
    <w:nsid w:val="165B5AFA"/>
    <w:multiLevelType w:val="multilevel"/>
    <w:tmpl w:val="C570F25C"/>
    <w:lvl w:ilvl="0">
      <w:start w:val="3"/>
      <w:numFmt w:val="decimal"/>
      <w:lvlText w:val="%1."/>
      <w:lvlJc w:val="left"/>
      <w:pPr>
        <w:ind w:left="540" w:hanging="540"/>
      </w:pPr>
      <w:rPr>
        <w:rFonts w:cs="Times New Roman" w:hint="default"/>
        <w:b/>
      </w:rPr>
    </w:lvl>
    <w:lvl w:ilvl="1">
      <w:start w:val="2"/>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nsid w:val="172C2174"/>
    <w:multiLevelType w:val="hybridMultilevel"/>
    <w:tmpl w:val="3D0C80EA"/>
    <w:lvl w:ilvl="0" w:tplc="FB0CAB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11189"/>
    <w:multiLevelType w:val="hybridMultilevel"/>
    <w:tmpl w:val="ABAA3E8A"/>
    <w:lvl w:ilvl="0" w:tplc="8D5A339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A3E6E"/>
    <w:multiLevelType w:val="hybridMultilevel"/>
    <w:tmpl w:val="6832B358"/>
    <w:lvl w:ilvl="0" w:tplc="E6F87EF2">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FC61E28"/>
    <w:multiLevelType w:val="multilevel"/>
    <w:tmpl w:val="4ADC37DA"/>
    <w:lvl w:ilvl="0">
      <w:start w:val="3"/>
      <w:numFmt w:val="decimal"/>
      <w:lvlText w:val="%1."/>
      <w:lvlJc w:val="left"/>
      <w:pPr>
        <w:ind w:left="540" w:hanging="540"/>
      </w:pPr>
      <w:rPr>
        <w:rFonts w:cs="Times New Roman" w:hint="default"/>
        <w:b/>
      </w:rPr>
    </w:lvl>
    <w:lvl w:ilvl="1">
      <w:start w:val="1"/>
      <w:numFmt w:val="decimal"/>
      <w:lvlText w:val="%1.%2."/>
      <w:lvlJc w:val="left"/>
      <w:pPr>
        <w:ind w:left="540" w:hanging="54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nsid w:val="2D7230CF"/>
    <w:multiLevelType w:val="hybridMultilevel"/>
    <w:tmpl w:val="718A5686"/>
    <w:lvl w:ilvl="0" w:tplc="1026D63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384D8C"/>
    <w:multiLevelType w:val="hybridMultilevel"/>
    <w:tmpl w:val="E0F847B2"/>
    <w:lvl w:ilvl="0" w:tplc="B7D84E08">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FDD388B"/>
    <w:multiLevelType w:val="hybridMultilevel"/>
    <w:tmpl w:val="FB22054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BAB1668"/>
    <w:multiLevelType w:val="hybridMultilevel"/>
    <w:tmpl w:val="F8BCF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57E6B"/>
    <w:multiLevelType w:val="hybridMultilevel"/>
    <w:tmpl w:val="CF20BAC6"/>
    <w:lvl w:ilvl="0" w:tplc="536A63A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322F7"/>
    <w:multiLevelType w:val="hybridMultilevel"/>
    <w:tmpl w:val="9EA0D800"/>
    <w:lvl w:ilvl="0" w:tplc="EE3874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F40644"/>
    <w:multiLevelType w:val="hybridMultilevel"/>
    <w:tmpl w:val="107E1FE2"/>
    <w:lvl w:ilvl="0" w:tplc="D8E6798A">
      <w:start w:val="1"/>
      <w:numFmt w:val="decimal"/>
      <w:lvlText w:val="%1."/>
      <w:lvlJc w:val="left"/>
      <w:pPr>
        <w:tabs>
          <w:tab w:val="num" w:pos="950"/>
        </w:tabs>
        <w:ind w:left="1182" w:hanging="231"/>
      </w:pPr>
      <w:rPr>
        <w:rFonts w:ascii="Times New Roman" w:hAnsi="Times New Roman" w:cs="Times New Roman" w:hint="default"/>
        <w:b w:val="0"/>
        <w:bCs w:val="0"/>
        <w:i w:val="0"/>
        <w:iCs w:val="0"/>
        <w:sz w:val="24"/>
        <w:szCs w:val="24"/>
      </w:rPr>
    </w:lvl>
    <w:lvl w:ilvl="1" w:tplc="0409000F">
      <w:start w:val="1"/>
      <w:numFmt w:val="decimal"/>
      <w:lvlText w:val="%2."/>
      <w:lvlJc w:val="left"/>
      <w:pPr>
        <w:tabs>
          <w:tab w:val="num" w:pos="2391"/>
        </w:tabs>
        <w:ind w:left="2391" w:hanging="360"/>
      </w:pPr>
    </w:lvl>
    <w:lvl w:ilvl="2" w:tplc="925E85EC">
      <w:start w:val="1"/>
      <w:numFmt w:val="decimal"/>
      <w:lvlText w:val="%3."/>
      <w:lvlJc w:val="left"/>
      <w:pPr>
        <w:tabs>
          <w:tab w:val="num" w:pos="3155"/>
        </w:tabs>
        <w:ind w:left="3155" w:hanging="360"/>
      </w:pPr>
      <w:rPr>
        <w:rFonts w:ascii="Arial" w:hAnsi="Arial" w:cs="Arial" w:hint="default"/>
        <w:b w:val="0"/>
        <w:bCs w:val="0"/>
        <w:i w:val="0"/>
        <w:iCs w:val="0"/>
        <w:sz w:val="24"/>
        <w:szCs w:val="24"/>
      </w:rPr>
    </w:lvl>
    <w:lvl w:ilvl="3" w:tplc="0409000F">
      <w:start w:val="1"/>
      <w:numFmt w:val="decimal"/>
      <w:lvlText w:val="%4."/>
      <w:lvlJc w:val="left"/>
      <w:pPr>
        <w:tabs>
          <w:tab w:val="num" w:pos="3831"/>
        </w:tabs>
        <w:ind w:left="3831" w:hanging="360"/>
      </w:pPr>
      <w:rPr>
        <w:rFonts w:cs="Times New Roman"/>
      </w:rPr>
    </w:lvl>
    <w:lvl w:ilvl="4" w:tplc="04090019">
      <w:start w:val="1"/>
      <w:numFmt w:val="lowerLetter"/>
      <w:lvlText w:val="%5."/>
      <w:lvlJc w:val="left"/>
      <w:pPr>
        <w:tabs>
          <w:tab w:val="num" w:pos="4551"/>
        </w:tabs>
        <w:ind w:left="4551" w:hanging="360"/>
      </w:pPr>
      <w:rPr>
        <w:rFonts w:cs="Times New Roman"/>
      </w:rPr>
    </w:lvl>
    <w:lvl w:ilvl="5" w:tplc="0409001B">
      <w:start w:val="1"/>
      <w:numFmt w:val="lowerRoman"/>
      <w:lvlText w:val="%6."/>
      <w:lvlJc w:val="right"/>
      <w:pPr>
        <w:tabs>
          <w:tab w:val="num" w:pos="5271"/>
        </w:tabs>
        <w:ind w:left="5271" w:hanging="180"/>
      </w:pPr>
      <w:rPr>
        <w:rFonts w:cs="Times New Roman"/>
      </w:rPr>
    </w:lvl>
    <w:lvl w:ilvl="6" w:tplc="0409000F">
      <w:start w:val="1"/>
      <w:numFmt w:val="decimal"/>
      <w:lvlText w:val="%7."/>
      <w:lvlJc w:val="left"/>
      <w:pPr>
        <w:tabs>
          <w:tab w:val="num" w:pos="5991"/>
        </w:tabs>
        <w:ind w:left="5991" w:hanging="360"/>
      </w:pPr>
      <w:rPr>
        <w:rFonts w:cs="Times New Roman"/>
      </w:rPr>
    </w:lvl>
    <w:lvl w:ilvl="7" w:tplc="04090019">
      <w:start w:val="1"/>
      <w:numFmt w:val="lowerLetter"/>
      <w:lvlText w:val="%8."/>
      <w:lvlJc w:val="left"/>
      <w:pPr>
        <w:tabs>
          <w:tab w:val="num" w:pos="6711"/>
        </w:tabs>
        <w:ind w:left="6711" w:hanging="360"/>
      </w:pPr>
      <w:rPr>
        <w:rFonts w:cs="Times New Roman"/>
      </w:rPr>
    </w:lvl>
    <w:lvl w:ilvl="8" w:tplc="0409001B">
      <w:start w:val="1"/>
      <w:numFmt w:val="lowerRoman"/>
      <w:lvlText w:val="%9."/>
      <w:lvlJc w:val="right"/>
      <w:pPr>
        <w:tabs>
          <w:tab w:val="num" w:pos="7431"/>
        </w:tabs>
        <w:ind w:left="7431" w:hanging="180"/>
      </w:pPr>
      <w:rPr>
        <w:rFonts w:cs="Times New Roman"/>
      </w:rPr>
    </w:lvl>
  </w:abstractNum>
  <w:abstractNum w:abstractNumId="14">
    <w:nsid w:val="5E664897"/>
    <w:multiLevelType w:val="multilevel"/>
    <w:tmpl w:val="556443A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7A71E64"/>
    <w:multiLevelType w:val="hybridMultilevel"/>
    <w:tmpl w:val="5B3EB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
  </w:num>
  <w:num w:numId="4">
    <w:abstractNumId w:val="9"/>
  </w:num>
  <w:num w:numId="5">
    <w:abstractNumId w:val="14"/>
  </w:num>
  <w:num w:numId="6">
    <w:abstractNumId w:val="6"/>
  </w:num>
  <w:num w:numId="7">
    <w:abstractNumId w:val="2"/>
  </w:num>
  <w:num w:numId="8">
    <w:abstractNumId w:val="8"/>
  </w:num>
  <w:num w:numId="9">
    <w:abstractNumId w:val="12"/>
  </w:num>
  <w:num w:numId="10">
    <w:abstractNumId w:val="7"/>
  </w:num>
  <w:num w:numId="11">
    <w:abstractNumId w:val="11"/>
  </w:num>
  <w:num w:numId="12">
    <w:abstractNumId w:val="15"/>
  </w:num>
  <w:num w:numId="13">
    <w:abstractNumId w:val="10"/>
  </w:num>
  <w:num w:numId="14">
    <w:abstractNumId w:val="3"/>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0E97"/>
    <w:rsid w:val="00026CCF"/>
    <w:rsid w:val="000400D2"/>
    <w:rsid w:val="00046CD9"/>
    <w:rsid w:val="00090E97"/>
    <w:rsid w:val="00100895"/>
    <w:rsid w:val="002F0411"/>
    <w:rsid w:val="00306166"/>
    <w:rsid w:val="00354F8A"/>
    <w:rsid w:val="0038085E"/>
    <w:rsid w:val="003C6116"/>
    <w:rsid w:val="00466826"/>
    <w:rsid w:val="004C635B"/>
    <w:rsid w:val="005540C8"/>
    <w:rsid w:val="00575263"/>
    <w:rsid w:val="005948B6"/>
    <w:rsid w:val="0059784A"/>
    <w:rsid w:val="005D21FA"/>
    <w:rsid w:val="006F386C"/>
    <w:rsid w:val="0071475F"/>
    <w:rsid w:val="0078074C"/>
    <w:rsid w:val="007829D1"/>
    <w:rsid w:val="008032FF"/>
    <w:rsid w:val="008D24E8"/>
    <w:rsid w:val="009966A8"/>
    <w:rsid w:val="009969B3"/>
    <w:rsid w:val="009A2504"/>
    <w:rsid w:val="009B242A"/>
    <w:rsid w:val="00AE1F53"/>
    <w:rsid w:val="00B62704"/>
    <w:rsid w:val="00B6348A"/>
    <w:rsid w:val="00B85662"/>
    <w:rsid w:val="00BE475A"/>
    <w:rsid w:val="00BF560D"/>
    <w:rsid w:val="00C10520"/>
    <w:rsid w:val="00C718BB"/>
    <w:rsid w:val="00CB123A"/>
    <w:rsid w:val="00CB5833"/>
    <w:rsid w:val="00CD4CD3"/>
    <w:rsid w:val="00CD697E"/>
    <w:rsid w:val="00D7205D"/>
    <w:rsid w:val="00DE29B5"/>
    <w:rsid w:val="00E5773D"/>
    <w:rsid w:val="00E6000D"/>
    <w:rsid w:val="00EF3AF1"/>
    <w:rsid w:val="00FD5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97"/>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0E97"/>
    <w:rPr>
      <w:sz w:val="20"/>
      <w:szCs w:val="20"/>
    </w:rPr>
  </w:style>
  <w:style w:type="character" w:customStyle="1" w:styleId="FootnoteTextChar">
    <w:name w:val="Footnote Text Char"/>
    <w:basedOn w:val="DefaultParagraphFont"/>
    <w:link w:val="FootnoteText"/>
    <w:uiPriority w:val="99"/>
    <w:semiHidden/>
    <w:rsid w:val="00090E97"/>
    <w:rPr>
      <w:rFonts w:ascii="Calibri" w:eastAsia="Times New Roman" w:hAnsi="Calibri" w:cs="Times New Roman"/>
      <w:sz w:val="20"/>
      <w:szCs w:val="20"/>
      <w:lang w:val="id-ID"/>
    </w:rPr>
  </w:style>
  <w:style w:type="character" w:styleId="FootnoteReference">
    <w:name w:val="footnote reference"/>
    <w:uiPriority w:val="99"/>
    <w:semiHidden/>
    <w:unhideWhenUsed/>
    <w:rsid w:val="00090E97"/>
    <w:rPr>
      <w:rFonts w:cs="Times New Roman"/>
      <w:vertAlign w:val="superscript"/>
    </w:rPr>
  </w:style>
  <w:style w:type="paragraph" w:styleId="ListParagraph">
    <w:name w:val="List Paragraph"/>
    <w:basedOn w:val="Normal"/>
    <w:uiPriority w:val="34"/>
    <w:qFormat/>
    <w:rsid w:val="00E6000D"/>
    <w:pPr>
      <w:ind w:left="720"/>
      <w:contextualSpacing/>
    </w:pPr>
  </w:style>
  <w:style w:type="paragraph" w:customStyle="1" w:styleId="Normal8">
    <w:name w:val="Normal+8"/>
    <w:basedOn w:val="Normal"/>
    <w:next w:val="Normal"/>
    <w:uiPriority w:val="99"/>
    <w:rsid w:val="0059784A"/>
    <w:pPr>
      <w:suppressAutoHyphens/>
      <w:autoSpaceDE w:val="0"/>
      <w:spacing w:after="0" w:line="240" w:lineRule="auto"/>
    </w:pPr>
    <w:rPr>
      <w:rFonts w:ascii="Times New Roman" w:hAnsi="Times New Roman"/>
      <w:sz w:val="24"/>
      <w:szCs w:val="24"/>
      <w:lang w:val="en-US" w:eastAsia="ar-SA"/>
    </w:rPr>
  </w:style>
  <w:style w:type="character" w:styleId="Hyperlink">
    <w:name w:val="Hyperlink"/>
    <w:basedOn w:val="DefaultParagraphFont"/>
    <w:uiPriority w:val="99"/>
    <w:semiHidden/>
    <w:unhideWhenUsed/>
    <w:rsid w:val="0059784A"/>
    <w:rPr>
      <w:rFonts w:cs="Times New Roman"/>
      <w:color w:val="0000FF"/>
      <w:u w:val="single"/>
    </w:rPr>
  </w:style>
  <w:style w:type="paragraph" w:styleId="BodyTextIndent">
    <w:name w:val="Body Text Indent"/>
    <w:basedOn w:val="Normal"/>
    <w:link w:val="BodyTextIndentChar1"/>
    <w:uiPriority w:val="99"/>
    <w:rsid w:val="005540C8"/>
    <w:pPr>
      <w:spacing w:after="120" w:line="240" w:lineRule="auto"/>
      <w:ind w:left="283"/>
    </w:pPr>
    <w:rPr>
      <w:rFonts w:ascii="Times New Roman" w:hAnsi="Times New Roman"/>
      <w:sz w:val="24"/>
      <w:szCs w:val="24"/>
      <w:lang w:val="en-US"/>
    </w:rPr>
  </w:style>
  <w:style w:type="character" w:customStyle="1" w:styleId="BodyTextIndentChar">
    <w:name w:val="Body Text Indent Char"/>
    <w:basedOn w:val="DefaultParagraphFont"/>
    <w:link w:val="BodyTextIndent"/>
    <w:uiPriority w:val="99"/>
    <w:semiHidden/>
    <w:rsid w:val="005540C8"/>
    <w:rPr>
      <w:rFonts w:ascii="Calibri" w:eastAsia="Times New Roman" w:hAnsi="Calibri" w:cs="Times New Roman"/>
      <w:lang w:val="id-ID"/>
    </w:rPr>
  </w:style>
  <w:style w:type="character" w:customStyle="1" w:styleId="BodyTextIndentChar1">
    <w:name w:val="Body Text Indent Char1"/>
    <w:basedOn w:val="DefaultParagraphFont"/>
    <w:link w:val="BodyTextIndent"/>
    <w:uiPriority w:val="99"/>
    <w:rsid w:val="005540C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540C8"/>
    <w:pPr>
      <w:spacing w:after="120" w:line="480" w:lineRule="auto"/>
      <w:ind w:left="360"/>
    </w:pPr>
    <w:rPr>
      <w:lang w:val="en-US"/>
    </w:rPr>
  </w:style>
  <w:style w:type="character" w:customStyle="1" w:styleId="BodyTextIndent2Char">
    <w:name w:val="Body Text Indent 2 Char"/>
    <w:basedOn w:val="DefaultParagraphFont"/>
    <w:link w:val="BodyTextIndent2"/>
    <w:uiPriority w:val="99"/>
    <w:rsid w:val="005540C8"/>
    <w:rPr>
      <w:rFonts w:ascii="Calibri" w:eastAsia="Times New Roman" w:hAnsi="Calibri" w:cs="Times New Roman"/>
    </w:rPr>
  </w:style>
  <w:style w:type="paragraph" w:styleId="BalloonText">
    <w:name w:val="Balloon Text"/>
    <w:basedOn w:val="Normal"/>
    <w:link w:val="BalloonTextChar"/>
    <w:uiPriority w:val="99"/>
    <w:semiHidden/>
    <w:unhideWhenUsed/>
    <w:rsid w:val="00996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B3"/>
    <w:rPr>
      <w:rFonts w:ascii="Tahoma" w:eastAsia="Times New Roman" w:hAnsi="Tahoma" w:cs="Tahoma"/>
      <w:sz w:val="16"/>
      <w:szCs w:val="16"/>
      <w:lang w:val="id-ID"/>
    </w:rPr>
  </w:style>
  <w:style w:type="paragraph" w:styleId="Header">
    <w:name w:val="header"/>
    <w:basedOn w:val="Normal"/>
    <w:link w:val="HeaderChar"/>
    <w:uiPriority w:val="99"/>
    <w:semiHidden/>
    <w:unhideWhenUsed/>
    <w:rsid w:val="00354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4F8A"/>
    <w:rPr>
      <w:rFonts w:ascii="Calibri" w:eastAsia="Times New Roman" w:hAnsi="Calibri" w:cs="Times New Roman"/>
      <w:lang w:val="id-ID"/>
    </w:rPr>
  </w:style>
  <w:style w:type="paragraph" w:styleId="Footer">
    <w:name w:val="footer"/>
    <w:basedOn w:val="Normal"/>
    <w:link w:val="FooterChar"/>
    <w:uiPriority w:val="99"/>
    <w:unhideWhenUsed/>
    <w:rsid w:val="00354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F8A"/>
    <w:rPr>
      <w:rFonts w:ascii="Calibri" w:eastAsia="Times New Roman"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KEMISKINAN\BAHAN%20Penyusunan%20SPKD%20&amp;%20RAD\Pendukung%20data%20SPK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Sheet1!$A$2</c:f>
              <c:strCache>
                <c:ptCount val="1"/>
                <c:pt idx="0">
                  <c:v>P1</c:v>
                </c:pt>
              </c:strCache>
            </c:strRef>
          </c:tx>
          <c:cat>
            <c:numRef>
              <c:f>Sheet1!$B$1:$F$1</c:f>
              <c:numCache>
                <c:formatCode>General</c:formatCode>
                <c:ptCount val="5"/>
                <c:pt idx="0">
                  <c:v>2007</c:v>
                </c:pt>
                <c:pt idx="1">
                  <c:v>2008</c:v>
                </c:pt>
                <c:pt idx="2">
                  <c:v>2009</c:v>
                </c:pt>
                <c:pt idx="3">
                  <c:v>2010</c:v>
                </c:pt>
                <c:pt idx="4">
                  <c:v>2011</c:v>
                </c:pt>
              </c:numCache>
            </c:numRef>
          </c:cat>
          <c:val>
            <c:numRef>
              <c:f>Sheet1!$B$2:$F$2</c:f>
              <c:numCache>
                <c:formatCode>General</c:formatCode>
                <c:ptCount val="5"/>
                <c:pt idx="0">
                  <c:v>4.22</c:v>
                </c:pt>
                <c:pt idx="1">
                  <c:v>5.13</c:v>
                </c:pt>
                <c:pt idx="2">
                  <c:v>3.77</c:v>
                </c:pt>
                <c:pt idx="3">
                  <c:v>2.8899999999999997</c:v>
                </c:pt>
                <c:pt idx="4">
                  <c:v>4.05</c:v>
                </c:pt>
              </c:numCache>
            </c:numRef>
          </c:val>
        </c:ser>
        <c:ser>
          <c:idx val="1"/>
          <c:order val="1"/>
          <c:tx>
            <c:strRef>
              <c:f>Sheet1!$A$3</c:f>
              <c:strCache>
                <c:ptCount val="1"/>
                <c:pt idx="0">
                  <c:v>P2</c:v>
                </c:pt>
              </c:strCache>
            </c:strRef>
          </c:tx>
          <c:cat>
            <c:numRef>
              <c:f>Sheet1!$B$1:$F$1</c:f>
              <c:numCache>
                <c:formatCode>General</c:formatCode>
                <c:ptCount val="5"/>
                <c:pt idx="0">
                  <c:v>2007</c:v>
                </c:pt>
                <c:pt idx="1">
                  <c:v>2008</c:v>
                </c:pt>
                <c:pt idx="2">
                  <c:v>2009</c:v>
                </c:pt>
                <c:pt idx="3">
                  <c:v>2010</c:v>
                </c:pt>
                <c:pt idx="4">
                  <c:v>2011</c:v>
                </c:pt>
              </c:numCache>
            </c:numRef>
          </c:cat>
          <c:val>
            <c:numRef>
              <c:f>Sheet1!$B$3:$F$3</c:f>
              <c:numCache>
                <c:formatCode>General</c:formatCode>
                <c:ptCount val="5"/>
                <c:pt idx="0">
                  <c:v>0.97000000000000053</c:v>
                </c:pt>
                <c:pt idx="1">
                  <c:v>1.36</c:v>
                </c:pt>
                <c:pt idx="2">
                  <c:v>1</c:v>
                </c:pt>
                <c:pt idx="3">
                  <c:v>0.56999999999999995</c:v>
                </c:pt>
                <c:pt idx="4">
                  <c:v>0.98</c:v>
                </c:pt>
              </c:numCache>
            </c:numRef>
          </c:val>
        </c:ser>
        <c:marker val="1"/>
        <c:axId val="75405184"/>
        <c:axId val="75406720"/>
      </c:lineChart>
      <c:catAx>
        <c:axId val="75405184"/>
        <c:scaling>
          <c:orientation val="minMax"/>
        </c:scaling>
        <c:axPos val="b"/>
        <c:numFmt formatCode="General" sourceLinked="1"/>
        <c:majorTickMark val="none"/>
        <c:tickLblPos val="nextTo"/>
        <c:txPr>
          <a:bodyPr/>
          <a:lstStyle/>
          <a:p>
            <a:pPr>
              <a:defRPr lang="id-ID"/>
            </a:pPr>
            <a:endParaRPr lang="id-ID"/>
          </a:p>
        </c:txPr>
        <c:crossAx val="75406720"/>
        <c:crosses val="autoZero"/>
        <c:auto val="1"/>
        <c:lblAlgn val="ctr"/>
        <c:lblOffset val="100"/>
      </c:catAx>
      <c:valAx>
        <c:axId val="75406720"/>
        <c:scaling>
          <c:orientation val="minMax"/>
        </c:scaling>
        <c:axPos val="l"/>
        <c:majorGridlines/>
        <c:numFmt formatCode="General" sourceLinked="1"/>
        <c:majorTickMark val="none"/>
        <c:tickLblPos val="nextTo"/>
        <c:txPr>
          <a:bodyPr/>
          <a:lstStyle/>
          <a:p>
            <a:pPr>
              <a:defRPr lang="id-ID"/>
            </a:pPr>
            <a:endParaRPr lang="id-ID"/>
          </a:p>
        </c:txPr>
        <c:crossAx val="75405184"/>
        <c:crosses val="autoZero"/>
        <c:crossBetween val="between"/>
      </c:valAx>
      <c:dTable>
        <c:showHorzBorder val="1"/>
        <c:showVertBorder val="1"/>
        <c:showOutline val="1"/>
        <c:showKeys val="1"/>
        <c:txPr>
          <a:bodyPr/>
          <a:lstStyle/>
          <a:p>
            <a:pPr rtl="0">
              <a:defRPr lang="id-ID"/>
            </a:pPr>
            <a:endParaRPr lang="id-ID"/>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8A8D-E5E6-4338-B21E-FC68CD0D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23</Pages>
  <Words>5686</Words>
  <Characters>32413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Rozaki</dc:creator>
  <cp:lastModifiedBy>hp pc</cp:lastModifiedBy>
  <cp:revision>28</cp:revision>
  <dcterms:created xsi:type="dcterms:W3CDTF">2013-11-17T02:44:00Z</dcterms:created>
  <dcterms:modified xsi:type="dcterms:W3CDTF">2013-12-11T01:20:00Z</dcterms:modified>
</cp:coreProperties>
</file>