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FA" w:rsidRPr="000A30C4" w:rsidRDefault="007C4EA6" w:rsidP="000A30C4">
      <w:pPr>
        <w:jc w:val="center"/>
        <w:rPr>
          <w:rFonts w:ascii="Times New Roman" w:hAnsi="Times New Roman" w:cs="Times New Roman"/>
          <w:b/>
          <w:sz w:val="24"/>
          <w:szCs w:val="24"/>
        </w:rPr>
      </w:pPr>
      <w:r w:rsidRPr="000A30C4">
        <w:rPr>
          <w:rFonts w:ascii="Times New Roman" w:hAnsi="Times New Roman" w:cs="Times New Roman"/>
          <w:b/>
          <w:sz w:val="24"/>
          <w:szCs w:val="24"/>
        </w:rPr>
        <w:t>BAB IV</w:t>
      </w:r>
    </w:p>
    <w:p w:rsidR="007C4EA6" w:rsidRPr="000A30C4" w:rsidRDefault="007C4EA6" w:rsidP="000A30C4">
      <w:pPr>
        <w:jc w:val="center"/>
        <w:rPr>
          <w:rFonts w:ascii="Times New Roman" w:hAnsi="Times New Roman" w:cs="Times New Roman"/>
          <w:b/>
          <w:sz w:val="24"/>
          <w:szCs w:val="24"/>
        </w:rPr>
      </w:pPr>
      <w:r w:rsidRPr="000A30C4">
        <w:rPr>
          <w:rFonts w:ascii="Times New Roman" w:hAnsi="Times New Roman" w:cs="Times New Roman"/>
          <w:b/>
          <w:sz w:val="24"/>
          <w:szCs w:val="24"/>
        </w:rPr>
        <w:t>KESIMPULAN DAN REKOMENDASI</w:t>
      </w:r>
    </w:p>
    <w:p w:rsidR="000A30C4" w:rsidRPr="000A30C4" w:rsidRDefault="000A30C4" w:rsidP="000A30C4">
      <w:pPr>
        <w:jc w:val="center"/>
        <w:rPr>
          <w:rFonts w:ascii="Times New Roman" w:hAnsi="Times New Roman" w:cs="Times New Roman"/>
          <w:sz w:val="24"/>
          <w:szCs w:val="24"/>
        </w:rPr>
      </w:pPr>
    </w:p>
    <w:p w:rsidR="000A30C4" w:rsidRPr="000A30C4" w:rsidRDefault="000A30C4" w:rsidP="000A30C4">
      <w:pPr>
        <w:pStyle w:val="ListParagraph"/>
        <w:numPr>
          <w:ilvl w:val="0"/>
          <w:numId w:val="1"/>
        </w:numPr>
        <w:rPr>
          <w:rFonts w:ascii="Times New Roman" w:hAnsi="Times New Roman" w:cs="Times New Roman"/>
          <w:b/>
          <w:sz w:val="24"/>
          <w:szCs w:val="24"/>
        </w:rPr>
      </w:pPr>
      <w:r w:rsidRPr="000A30C4">
        <w:rPr>
          <w:rFonts w:ascii="Times New Roman" w:hAnsi="Times New Roman" w:cs="Times New Roman"/>
          <w:b/>
          <w:sz w:val="24"/>
          <w:szCs w:val="24"/>
        </w:rPr>
        <w:t>Kesimpulan</w:t>
      </w:r>
    </w:p>
    <w:p w:rsidR="000A30C4" w:rsidRPr="00192871" w:rsidRDefault="000A30C4" w:rsidP="004C1C4D">
      <w:pPr>
        <w:pStyle w:val="ListParagraph"/>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Mengatasi kemiskinan dengan pendekatan </w:t>
      </w:r>
      <w:r w:rsidRPr="00192871">
        <w:rPr>
          <w:rFonts w:ascii="Times New Roman" w:hAnsi="Times New Roman" w:cs="Times New Roman"/>
          <w:i/>
          <w:sz w:val="24"/>
          <w:szCs w:val="24"/>
        </w:rPr>
        <w:t>asset base</w:t>
      </w:r>
      <w:r>
        <w:rPr>
          <w:rFonts w:ascii="Times New Roman" w:hAnsi="Times New Roman" w:cs="Times New Roman"/>
          <w:sz w:val="24"/>
          <w:szCs w:val="24"/>
        </w:rPr>
        <w:t xml:space="preserve"> sebagaimana yang terjadi dalam pengelolaan Goa Pindul oleh warga masyarakat desa Bejiharjo memberikan gambaran kepada kita bahwasannya warga dapat menolong dirinya sendiri dalam mengatasi problem kesejahteraan. Pendekatan </w:t>
      </w:r>
      <w:r w:rsidRPr="008C22FB">
        <w:rPr>
          <w:rFonts w:ascii="Times New Roman" w:hAnsi="Times New Roman" w:cs="Times New Roman"/>
          <w:i/>
          <w:sz w:val="24"/>
          <w:szCs w:val="24"/>
        </w:rPr>
        <w:t>asset base</w:t>
      </w:r>
      <w:r>
        <w:rPr>
          <w:rFonts w:ascii="Times New Roman" w:hAnsi="Times New Roman" w:cs="Times New Roman"/>
          <w:sz w:val="24"/>
          <w:szCs w:val="24"/>
        </w:rPr>
        <w:t xml:space="preserve"> sangat membantu warga untuk lebih jeli memperhatikan dan mendalami potensi sebagai aset di lingkungannya yang dapat dikembangkan sebagai alternatif sumber penghidupan berkelanjutan </w:t>
      </w:r>
      <w:r w:rsidRPr="00192871">
        <w:rPr>
          <w:rFonts w:ascii="Times New Roman" w:hAnsi="Times New Roman" w:cs="Times New Roman"/>
          <w:i/>
          <w:sz w:val="24"/>
          <w:szCs w:val="24"/>
        </w:rPr>
        <w:t xml:space="preserve">(sustainable livelihood). </w:t>
      </w:r>
    </w:p>
    <w:p w:rsidR="000A30C4" w:rsidRDefault="000A30C4" w:rsidP="004C1C4D">
      <w:pPr>
        <w:pStyle w:val="ListParagraph"/>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Banyak aset di desa yang tidak tumbuh dikelola sebagai sumber penghidupan berkelanjutan karena kegagalan dalam mengidentifikasi dan mengembangkannya. </w:t>
      </w:r>
      <w:r w:rsidR="008C22FB">
        <w:rPr>
          <w:rFonts w:ascii="Times New Roman" w:hAnsi="Times New Roman" w:cs="Times New Roman"/>
          <w:sz w:val="24"/>
          <w:szCs w:val="24"/>
          <w:lang w:val="id-ID"/>
        </w:rPr>
        <w:t>Padahal hampir semua desa dan lokalitas lainnya di masyarakat memiliki aset. Seperti aset manusia, sumber daya manusia di dalamnya, aset fisik, aset modal sosial seeperti ada organisasi dan institusi sosial, aset ekonomi (</w:t>
      </w:r>
      <w:r w:rsidR="008C22FB" w:rsidRPr="005E083D">
        <w:rPr>
          <w:rFonts w:ascii="Times New Roman" w:hAnsi="Times New Roman" w:cs="Times New Roman"/>
          <w:i/>
          <w:sz w:val="24"/>
          <w:szCs w:val="24"/>
          <w:lang w:val="id-ID"/>
        </w:rPr>
        <w:t>fina</w:t>
      </w:r>
      <w:r w:rsidR="00AA6B21" w:rsidRPr="005E083D">
        <w:rPr>
          <w:rFonts w:ascii="Times New Roman" w:hAnsi="Times New Roman" w:cs="Times New Roman"/>
          <w:i/>
          <w:sz w:val="24"/>
          <w:szCs w:val="24"/>
          <w:lang w:val="id-ID"/>
        </w:rPr>
        <w:t>nscial)</w:t>
      </w:r>
      <w:r w:rsidR="00AA6B21">
        <w:rPr>
          <w:rFonts w:ascii="Times New Roman" w:hAnsi="Times New Roman" w:cs="Times New Roman"/>
          <w:sz w:val="24"/>
          <w:szCs w:val="24"/>
          <w:lang w:val="id-ID"/>
        </w:rPr>
        <w:t xml:space="preserve"> </w:t>
      </w:r>
      <w:r w:rsidR="008C22FB">
        <w:rPr>
          <w:rFonts w:ascii="Times New Roman" w:hAnsi="Times New Roman" w:cs="Times New Roman"/>
          <w:sz w:val="24"/>
          <w:szCs w:val="24"/>
          <w:lang w:val="id-ID"/>
        </w:rPr>
        <w:t xml:space="preserve">dan aset lingkungan alam </w:t>
      </w:r>
      <w:r w:rsidR="008C22FB" w:rsidRPr="005E083D">
        <w:rPr>
          <w:rFonts w:ascii="Times New Roman" w:hAnsi="Times New Roman" w:cs="Times New Roman"/>
          <w:i/>
          <w:sz w:val="24"/>
          <w:szCs w:val="24"/>
          <w:lang w:val="id-ID"/>
        </w:rPr>
        <w:t>(nature).</w:t>
      </w:r>
      <w:r w:rsidR="008C22FB">
        <w:rPr>
          <w:rFonts w:ascii="Times New Roman" w:hAnsi="Times New Roman" w:cs="Times New Roman"/>
          <w:sz w:val="24"/>
          <w:szCs w:val="24"/>
          <w:lang w:val="id-ID"/>
        </w:rPr>
        <w:t xml:space="preserve"> Proses mengidentifikasi aset dan mengembangkannya dapat dengan menggunakan appreciative inquiry sebagaimana di dalamnya terdapat rumusan 4 D</w:t>
      </w:r>
      <w:r>
        <w:rPr>
          <w:rFonts w:ascii="Times New Roman" w:hAnsi="Times New Roman" w:cs="Times New Roman"/>
          <w:sz w:val="24"/>
          <w:szCs w:val="24"/>
        </w:rPr>
        <w:t xml:space="preserve">, yakni </w:t>
      </w:r>
      <w:r w:rsidRPr="00192871">
        <w:rPr>
          <w:rFonts w:ascii="Times New Roman" w:hAnsi="Times New Roman" w:cs="Times New Roman"/>
          <w:i/>
          <w:sz w:val="24"/>
          <w:szCs w:val="24"/>
        </w:rPr>
        <w:t xml:space="preserve">discovery, dream, design </w:t>
      </w:r>
      <w:r w:rsidRPr="00192871">
        <w:rPr>
          <w:rFonts w:ascii="Times New Roman" w:hAnsi="Times New Roman" w:cs="Times New Roman"/>
          <w:sz w:val="24"/>
          <w:szCs w:val="24"/>
        </w:rPr>
        <w:t>dan</w:t>
      </w:r>
      <w:r w:rsidRPr="00192871">
        <w:rPr>
          <w:rFonts w:ascii="Times New Roman" w:hAnsi="Times New Roman" w:cs="Times New Roman"/>
          <w:i/>
          <w:sz w:val="24"/>
          <w:szCs w:val="24"/>
        </w:rPr>
        <w:t xml:space="preserve"> destiny</w:t>
      </w:r>
      <w:r w:rsidR="008C22FB">
        <w:rPr>
          <w:rFonts w:ascii="Times New Roman" w:hAnsi="Times New Roman" w:cs="Times New Roman"/>
          <w:i/>
          <w:sz w:val="24"/>
          <w:szCs w:val="24"/>
          <w:lang w:val="id-ID"/>
        </w:rPr>
        <w:t>. Keempat hal ini</w:t>
      </w:r>
      <w:r>
        <w:rPr>
          <w:rFonts w:ascii="Times New Roman" w:hAnsi="Times New Roman" w:cs="Times New Roman"/>
          <w:sz w:val="24"/>
          <w:szCs w:val="24"/>
        </w:rPr>
        <w:t xml:space="preserve"> memberi kemudahan bagi warga dalam mengidentifikasi aset dan menggerakkannya menjadi sesuatu yang memberi harapan baru. </w:t>
      </w:r>
    </w:p>
    <w:p w:rsidR="00AA6B21" w:rsidRDefault="00AA6B21" w:rsidP="004C1C4D">
      <w:pPr>
        <w:pStyle w:val="ListParagraph"/>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tekun dan penuh komitmen untuk menelusuri dan mengembangkan aset lokal ini maka hasilnya tentu akan dapat dipetik. </w:t>
      </w:r>
      <w:r>
        <w:rPr>
          <w:rFonts w:ascii="Times New Roman" w:hAnsi="Times New Roman" w:cs="Times New Roman"/>
          <w:sz w:val="24"/>
          <w:szCs w:val="24"/>
          <w:lang w:val="id-ID"/>
        </w:rPr>
        <w:lastRenderedPageBreak/>
        <w:t xml:space="preserve">Sebab lokalitas Indonesia sangat kaya akan potensi aset yang terdapat di dalamnya. Sebagaimana fenomena pengembangan aset lokal di Gunungkidul, daerah yang selama ini dikenal dengan lahan yang tandus, kering dan penuh dengan permasalahan kemiskinan. Pada kenyataanya juga memiliki potensi aset yang luar biasa. Warga Gunungkidul sendiri sudah membuktikan akan hal itu sebagaimana dalam pengelolaan wisata Goa Pindul. </w:t>
      </w:r>
    </w:p>
    <w:p w:rsidR="00C806A6" w:rsidRDefault="00C806A6" w:rsidP="004C1C4D">
      <w:pPr>
        <w:pStyle w:val="ListParagraph"/>
        <w:spacing w:after="0" w:line="360" w:lineRule="auto"/>
        <w:ind w:firstLine="720"/>
        <w:jc w:val="both"/>
        <w:rPr>
          <w:rFonts w:ascii="Times New Roman" w:hAnsi="Times New Roman"/>
          <w:sz w:val="24"/>
          <w:szCs w:val="24"/>
          <w:lang w:val="id-ID"/>
        </w:rPr>
      </w:pPr>
      <w:r>
        <w:rPr>
          <w:rFonts w:ascii="Times New Roman" w:hAnsi="Times New Roman" w:cs="Times New Roman"/>
          <w:sz w:val="24"/>
          <w:szCs w:val="24"/>
        </w:rPr>
        <w:t>Potret penanggulangan kemiskinan berbasis asset base dalam pengelolaan wisata Goa Pindul yang telah b</w:t>
      </w:r>
      <w:r w:rsidR="00AA6B21">
        <w:rPr>
          <w:rFonts w:ascii="Times New Roman" w:hAnsi="Times New Roman" w:cs="Times New Roman"/>
          <w:sz w:val="24"/>
          <w:szCs w:val="24"/>
        </w:rPr>
        <w:t xml:space="preserve">erhasil sebagaimana pengakuan </w:t>
      </w:r>
      <w:r w:rsidR="00AA6B21">
        <w:rPr>
          <w:rFonts w:ascii="Times New Roman" w:hAnsi="Times New Roman" w:cs="Times New Roman"/>
          <w:sz w:val="24"/>
          <w:szCs w:val="24"/>
          <w:lang w:val="id-ID"/>
        </w:rPr>
        <w:t>Wa</w:t>
      </w:r>
      <w:r>
        <w:rPr>
          <w:rFonts w:ascii="Times New Roman" w:hAnsi="Times New Roman" w:cs="Times New Roman"/>
          <w:sz w:val="24"/>
          <w:szCs w:val="24"/>
        </w:rPr>
        <w:t>kil Bupati Gunungkidul, yang dalam waktu relatif cepat</w:t>
      </w:r>
      <w:r w:rsidR="00014B65">
        <w:rPr>
          <w:rFonts w:ascii="Times New Roman" w:hAnsi="Times New Roman" w:cs="Times New Roman"/>
          <w:sz w:val="24"/>
          <w:szCs w:val="24"/>
        </w:rPr>
        <w:t xml:space="preserve"> </w:t>
      </w:r>
      <w:r>
        <w:rPr>
          <w:rFonts w:ascii="Times New Roman" w:hAnsi="Times New Roman" w:cs="Times New Roman"/>
          <w:sz w:val="24"/>
          <w:szCs w:val="24"/>
        </w:rPr>
        <w:t>mampu</w:t>
      </w:r>
      <w:r w:rsidR="00014B65">
        <w:rPr>
          <w:rFonts w:ascii="Times New Roman" w:hAnsi="Times New Roman" w:cs="Times New Roman"/>
          <w:sz w:val="24"/>
          <w:szCs w:val="24"/>
        </w:rPr>
        <w:t xml:space="preserve"> </w:t>
      </w:r>
      <w:r>
        <w:rPr>
          <w:rFonts w:ascii="Times New Roman" w:hAnsi="Times New Roman" w:cs="Times New Roman"/>
          <w:sz w:val="24"/>
          <w:szCs w:val="24"/>
        </w:rPr>
        <w:t xml:space="preserve">mendatangkan kunjungan </w:t>
      </w:r>
      <w:r>
        <w:rPr>
          <w:rFonts w:ascii="Times New Roman" w:hAnsi="Times New Roman"/>
          <w:sz w:val="24"/>
          <w:szCs w:val="24"/>
        </w:rPr>
        <w:t xml:space="preserve">wisatawan </w:t>
      </w:r>
      <w:r w:rsidR="00014B65">
        <w:rPr>
          <w:rFonts w:ascii="Times New Roman" w:hAnsi="Times New Roman"/>
          <w:sz w:val="24"/>
          <w:szCs w:val="24"/>
        </w:rPr>
        <w:t xml:space="preserve">yang ters </w:t>
      </w:r>
      <w:r>
        <w:rPr>
          <w:rFonts w:ascii="Times New Roman" w:hAnsi="Times New Roman"/>
          <w:sz w:val="24"/>
          <w:szCs w:val="24"/>
        </w:rPr>
        <w:t>meningkat menjadi  127.977 pengunjung</w:t>
      </w:r>
      <w:r w:rsidR="00014B65">
        <w:rPr>
          <w:rFonts w:ascii="Times New Roman" w:hAnsi="Times New Roman"/>
          <w:sz w:val="24"/>
          <w:szCs w:val="24"/>
        </w:rPr>
        <w:t xml:space="preserve"> sampai dengan tahun 2012</w:t>
      </w:r>
      <w:r>
        <w:rPr>
          <w:rFonts w:ascii="Times New Roman" w:hAnsi="Times New Roman"/>
          <w:sz w:val="24"/>
          <w:szCs w:val="24"/>
        </w:rPr>
        <w:t xml:space="preserve">. </w:t>
      </w:r>
      <w:r w:rsidR="00014B65">
        <w:rPr>
          <w:rFonts w:ascii="Times New Roman" w:hAnsi="Times New Roman"/>
          <w:sz w:val="24"/>
          <w:szCs w:val="24"/>
        </w:rPr>
        <w:t>Mampu menyerap tenaga kerja lokal, seperti adanya p</w:t>
      </w:r>
      <w:r w:rsidRPr="00263CFF">
        <w:rPr>
          <w:rFonts w:ascii="Times New Roman" w:hAnsi="Times New Roman"/>
          <w:sz w:val="24"/>
          <w:szCs w:val="24"/>
        </w:rPr>
        <w:t>emandu wisata y</w:t>
      </w:r>
      <w:r>
        <w:rPr>
          <w:rFonts w:ascii="Times New Roman" w:hAnsi="Times New Roman"/>
          <w:sz w:val="24"/>
          <w:szCs w:val="24"/>
        </w:rPr>
        <w:t>an</w:t>
      </w:r>
      <w:r w:rsidRPr="00263CFF">
        <w:rPr>
          <w:rFonts w:ascii="Times New Roman" w:hAnsi="Times New Roman"/>
          <w:sz w:val="24"/>
          <w:szCs w:val="24"/>
        </w:rPr>
        <w:t xml:space="preserve">g awalnya </w:t>
      </w:r>
      <w:r>
        <w:rPr>
          <w:rFonts w:ascii="Times New Roman" w:hAnsi="Times New Roman"/>
          <w:sz w:val="24"/>
          <w:szCs w:val="24"/>
        </w:rPr>
        <w:t xml:space="preserve">hanya </w:t>
      </w:r>
      <w:r w:rsidR="00014B65">
        <w:rPr>
          <w:rFonts w:ascii="Times New Roman" w:hAnsi="Times New Roman"/>
          <w:sz w:val="24"/>
          <w:szCs w:val="24"/>
        </w:rPr>
        <w:t>4 orang menjadi 450 orang</w:t>
      </w:r>
      <w:r w:rsidR="009F34F4">
        <w:rPr>
          <w:rFonts w:ascii="Times New Roman" w:hAnsi="Times New Roman"/>
          <w:sz w:val="24"/>
          <w:szCs w:val="24"/>
        </w:rPr>
        <w:t xml:space="preserve"> yang rata-rata penghasilannya 1 juta- 1,5 perbulan. Juga</w:t>
      </w:r>
      <w:r w:rsidR="00014B65">
        <w:rPr>
          <w:rFonts w:ascii="Times New Roman" w:hAnsi="Times New Roman"/>
          <w:sz w:val="24"/>
          <w:szCs w:val="24"/>
        </w:rPr>
        <w:t xml:space="preserve"> </w:t>
      </w:r>
      <w:r>
        <w:rPr>
          <w:rFonts w:ascii="Times New Roman" w:hAnsi="Times New Roman"/>
          <w:sz w:val="24"/>
          <w:szCs w:val="24"/>
        </w:rPr>
        <w:t>mampu m</w:t>
      </w:r>
      <w:r w:rsidRPr="00263CFF">
        <w:rPr>
          <w:rFonts w:ascii="Times New Roman" w:hAnsi="Times New Roman"/>
          <w:sz w:val="24"/>
          <w:szCs w:val="24"/>
        </w:rPr>
        <w:t xml:space="preserve">emberi pekerjaan untuk 1000 KK </w:t>
      </w:r>
      <w:r>
        <w:rPr>
          <w:rFonts w:ascii="Times New Roman" w:hAnsi="Times New Roman"/>
          <w:sz w:val="24"/>
          <w:szCs w:val="24"/>
        </w:rPr>
        <w:t xml:space="preserve">sehingga berpengaruh signifikan bagi pengurangan angka kemiskinan </w:t>
      </w:r>
      <w:r w:rsidRPr="001F14E4">
        <w:rPr>
          <w:rFonts w:ascii="Times New Roman" w:hAnsi="Times New Roman"/>
          <w:sz w:val="24"/>
          <w:szCs w:val="24"/>
        </w:rPr>
        <w:t xml:space="preserve">Pengurangan kemiskinan warga sampai </w:t>
      </w:r>
      <w:r>
        <w:rPr>
          <w:rFonts w:ascii="Times New Roman" w:hAnsi="Times New Roman"/>
          <w:sz w:val="24"/>
          <w:szCs w:val="24"/>
        </w:rPr>
        <w:t xml:space="preserve">dengan besaran sekitar </w:t>
      </w:r>
      <w:r w:rsidRPr="001F14E4">
        <w:rPr>
          <w:rFonts w:ascii="Times New Roman" w:hAnsi="Times New Roman"/>
          <w:sz w:val="24"/>
          <w:szCs w:val="24"/>
        </w:rPr>
        <w:t>2%</w:t>
      </w:r>
      <w:r w:rsidR="00014B65">
        <w:rPr>
          <w:rFonts w:ascii="Times New Roman" w:hAnsi="Times New Roman"/>
          <w:sz w:val="24"/>
          <w:szCs w:val="24"/>
        </w:rPr>
        <w:t xml:space="preserve">. </w:t>
      </w:r>
    </w:p>
    <w:p w:rsidR="00AA6B21" w:rsidRPr="00AA6B21" w:rsidRDefault="00AA6B21" w:rsidP="004C1C4D">
      <w:pPr>
        <w:pStyle w:val="ListParagraph"/>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Bahkan Pokdarwis sebagai pengelola wisata berbasis masyarakat juga turut berkontrobusi pula dalam meingkatkan pendapatan asli desa (PAD). Jadi penghasilan dari pengelolaan obyek wisata Goa Pindul tidak hanya menambah pendapat warga masyarakat, juga menambah pendapatan pemerintahan desa. Sesuatu yang sangat mengembirakan karena warga dan institusi desa saling bersinergi satu sama lain.</w:t>
      </w:r>
    </w:p>
    <w:p w:rsidR="009F34F4" w:rsidRDefault="0008620E" w:rsidP="004C1C4D">
      <w:pPr>
        <w:pStyle w:val="ListParagraph"/>
        <w:spacing w:after="0" w:line="360" w:lineRule="auto"/>
        <w:ind w:firstLine="720"/>
        <w:jc w:val="both"/>
        <w:rPr>
          <w:rFonts w:ascii="Times New Roman" w:hAnsi="Times New Roman"/>
          <w:sz w:val="24"/>
          <w:szCs w:val="24"/>
        </w:rPr>
      </w:pPr>
      <w:r>
        <w:rPr>
          <w:rFonts w:ascii="Times New Roman" w:hAnsi="Times New Roman"/>
          <w:sz w:val="24"/>
          <w:szCs w:val="24"/>
        </w:rPr>
        <w:t xml:space="preserve">Kemampuan mengidentifikasi aset lokal dan mengembangkannya secara baik, telah membuat warga menjadi subyek </w:t>
      </w:r>
      <w:r>
        <w:rPr>
          <w:rFonts w:ascii="Times New Roman" w:hAnsi="Times New Roman"/>
          <w:sz w:val="24"/>
          <w:szCs w:val="24"/>
        </w:rPr>
        <w:lastRenderedPageBreak/>
        <w:t xml:space="preserve">pembangunan dan perubahan di lingkungannya. Hal semacam ini membuat dinamika budaya di lingkungan masyarakat berjalan dengan semangat saling menunjang pada aspek ekonomi dan sosial lainnya. Warga dalam memenuhi sumber penghidupan tidak harus mencari dari luar desa atau daerahnya karena potensi aset yang terdapat di lingkungannya sudah mencukupi. </w:t>
      </w:r>
      <w:r w:rsidR="00A4358D">
        <w:rPr>
          <w:rFonts w:ascii="Times New Roman" w:hAnsi="Times New Roman"/>
          <w:sz w:val="24"/>
          <w:szCs w:val="24"/>
        </w:rPr>
        <w:t>Tantangannya adalah setelah aset itu berkembang, bagaimana komunitas warga agar dapat terus merawat dan memeliharanya dan bahkan terus melakukan inovasi agar aset tersebut dapat berkelanjutan sebagai sumber penghidupan.</w:t>
      </w:r>
    </w:p>
    <w:p w:rsidR="00A4358D" w:rsidRDefault="00A4358D" w:rsidP="004C1C4D">
      <w:pPr>
        <w:pStyle w:val="ListParagraph"/>
        <w:spacing w:after="0" w:line="360" w:lineRule="auto"/>
        <w:ind w:firstLine="720"/>
        <w:jc w:val="both"/>
        <w:rPr>
          <w:rFonts w:ascii="Times New Roman" w:hAnsi="Times New Roman"/>
          <w:sz w:val="24"/>
          <w:szCs w:val="24"/>
          <w:lang w:val="id-ID"/>
        </w:rPr>
      </w:pPr>
      <w:r>
        <w:rPr>
          <w:rFonts w:ascii="Times New Roman" w:hAnsi="Times New Roman"/>
          <w:sz w:val="24"/>
          <w:szCs w:val="24"/>
        </w:rPr>
        <w:t>Terdapat potret yang layak diteladani bagaimana bersatunya proses kemitraan antara Pemda Gunungkidul dengan komunitas warga, khususnya yang tergabung dalam Pokdarwis dalam mengembangkan aset lokal sehingga terus berkembang menjadi sumber penghidupan warga dalam kasus wisata Goa Pindul ini.Sangat terlihat Pemda begitu berpihak pada pengembangan desa wisata berbasis masyarakat, terutama saat lahan Goa Pindul ini ingin dicaplok dan diklaim oleh pengusaha Atik Damayanti. Meski demikian, agar di masa depan tidak terjadi lagi konflik,</w:t>
      </w:r>
      <w:r w:rsidR="008C22FB">
        <w:rPr>
          <w:rFonts w:ascii="Times New Roman" w:hAnsi="Times New Roman"/>
          <w:sz w:val="24"/>
          <w:szCs w:val="24"/>
        </w:rPr>
        <w:t xml:space="preserve"> memang perlu pengaturan aturan</w:t>
      </w:r>
      <w:r w:rsidR="008C22FB">
        <w:rPr>
          <w:rFonts w:ascii="Times New Roman" w:hAnsi="Times New Roman"/>
          <w:sz w:val="24"/>
          <w:szCs w:val="24"/>
          <w:lang w:val="id-ID"/>
        </w:rPr>
        <w:t>/</w:t>
      </w:r>
      <w:r>
        <w:rPr>
          <w:rFonts w:ascii="Times New Roman" w:hAnsi="Times New Roman"/>
          <w:sz w:val="24"/>
          <w:szCs w:val="24"/>
        </w:rPr>
        <w:t xml:space="preserve"> regulasi yang lebih detail lagi terkait dengan pengelolaan </w:t>
      </w:r>
      <w:r w:rsidR="00192871">
        <w:rPr>
          <w:rFonts w:ascii="Times New Roman" w:hAnsi="Times New Roman"/>
          <w:sz w:val="24"/>
          <w:szCs w:val="24"/>
        </w:rPr>
        <w:t>wisata berbasis komunitas warga, untuk menghindari konflik saat m</w:t>
      </w:r>
      <w:r w:rsidR="00AA6B21">
        <w:rPr>
          <w:rFonts w:ascii="Times New Roman" w:hAnsi="Times New Roman"/>
          <w:sz w:val="24"/>
          <w:szCs w:val="24"/>
          <w:lang w:val="id-ID"/>
        </w:rPr>
        <w:t>engalami perkembangan yang cukup pesat sehingga</w:t>
      </w:r>
      <w:r w:rsidR="00192871">
        <w:rPr>
          <w:rFonts w:ascii="Times New Roman" w:hAnsi="Times New Roman"/>
          <w:sz w:val="24"/>
          <w:szCs w:val="24"/>
        </w:rPr>
        <w:t xml:space="preserve"> menciptakan kestabilan dan kenyamanan bagi para wisatawan dan juga warga masyarakat sekitar lainnya.</w:t>
      </w:r>
    </w:p>
    <w:p w:rsidR="00AA6B21" w:rsidRDefault="00AA6B21" w:rsidP="004C1C4D">
      <w:pPr>
        <w:pStyle w:val="ListParagraph"/>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Kita berharap kalau toh terjadi beberapa letupan konflik, konflik ini dapat dikelola secara produktif, saling membangun refleksi untuk menyadari dimana letak kelemahan yang harus segera diperbaiki. Realitas konflik dapat memacu komunitas untuk selalu melakukan </w:t>
      </w:r>
      <w:r>
        <w:rPr>
          <w:rFonts w:ascii="Times New Roman" w:hAnsi="Times New Roman"/>
          <w:sz w:val="24"/>
          <w:szCs w:val="24"/>
          <w:lang w:val="id-ID"/>
        </w:rPr>
        <w:lastRenderedPageBreak/>
        <w:t xml:space="preserve">perbaikan dalam banyak hal, baik itu dari sisi manajemen komunitas, relasi dengan stakeholders lainnya. </w:t>
      </w:r>
    </w:p>
    <w:p w:rsidR="00AA6B21" w:rsidRPr="00AA6B21" w:rsidRDefault="00AA6B21" w:rsidP="004C1C4D">
      <w:pPr>
        <w:pStyle w:val="ListParagraph"/>
        <w:spacing w:after="0" w:line="360" w:lineRule="auto"/>
        <w:ind w:firstLine="720"/>
        <w:jc w:val="both"/>
        <w:rPr>
          <w:rFonts w:ascii="Times New Roman" w:hAnsi="Times New Roman"/>
          <w:sz w:val="24"/>
          <w:szCs w:val="24"/>
          <w:lang w:val="id-ID"/>
        </w:rPr>
      </w:pPr>
    </w:p>
    <w:p w:rsidR="005E5348" w:rsidRPr="005E5348" w:rsidRDefault="000A30C4" w:rsidP="004C1C4D">
      <w:pPr>
        <w:pStyle w:val="ListParagraph"/>
        <w:numPr>
          <w:ilvl w:val="0"/>
          <w:numId w:val="1"/>
        </w:numPr>
        <w:spacing w:after="0" w:line="360" w:lineRule="auto"/>
        <w:rPr>
          <w:rFonts w:ascii="Times New Roman" w:hAnsi="Times New Roman" w:cs="Times New Roman"/>
          <w:b/>
          <w:sz w:val="24"/>
          <w:szCs w:val="24"/>
        </w:rPr>
      </w:pPr>
      <w:r w:rsidRPr="005E5348">
        <w:rPr>
          <w:rFonts w:ascii="Times New Roman" w:hAnsi="Times New Roman" w:cs="Times New Roman"/>
          <w:b/>
          <w:sz w:val="24"/>
          <w:szCs w:val="24"/>
        </w:rPr>
        <w:t>Rekomendasi</w:t>
      </w:r>
      <w:r w:rsidR="005E5348" w:rsidRPr="005E5348">
        <w:rPr>
          <w:rFonts w:ascii="Tw Cen MT" w:eastAsia="+mn-ea" w:hAnsi="Tw Cen MT" w:cs="+mn-cs"/>
          <w:b/>
          <w:color w:val="000000"/>
          <w:kern w:val="24"/>
          <w:sz w:val="50"/>
          <w:szCs w:val="50"/>
        </w:rPr>
        <w:t xml:space="preserve"> </w:t>
      </w:r>
    </w:p>
    <w:p w:rsidR="005E083D" w:rsidRDefault="001C12B1" w:rsidP="005E083D">
      <w:pPr>
        <w:pStyle w:val="ListParagraph"/>
        <w:spacing w:after="0" w:line="360" w:lineRule="auto"/>
        <w:ind w:firstLine="720"/>
        <w:jc w:val="both"/>
        <w:rPr>
          <w:rFonts w:ascii="Times New Roman" w:hAnsi="Times New Roman" w:cs="Times New Roman"/>
          <w:sz w:val="24"/>
          <w:szCs w:val="24"/>
          <w:lang w:val="id-ID"/>
        </w:rPr>
      </w:pPr>
      <w:r w:rsidRPr="005E5348">
        <w:rPr>
          <w:rFonts w:ascii="Times New Roman" w:hAnsi="Times New Roman" w:cs="Times New Roman"/>
          <w:sz w:val="24"/>
          <w:szCs w:val="24"/>
        </w:rPr>
        <w:t>Hampir semua pihak ingin memanfaatkan dan memperoleh keuntungan ekonomi dar</w:t>
      </w:r>
      <w:r w:rsidR="00D02775">
        <w:rPr>
          <w:rFonts w:ascii="Times New Roman" w:hAnsi="Times New Roman" w:cs="Times New Roman"/>
          <w:sz w:val="24"/>
          <w:szCs w:val="24"/>
        </w:rPr>
        <w:t>i pengelolaan sumber daya alam Goa P</w:t>
      </w:r>
      <w:r w:rsidRPr="005E5348">
        <w:rPr>
          <w:rFonts w:ascii="Times New Roman" w:hAnsi="Times New Roman" w:cs="Times New Roman"/>
          <w:sz w:val="24"/>
          <w:szCs w:val="24"/>
        </w:rPr>
        <w:t>indul, jika orientasi ekonomi lebih kuat tanpa diimbagi dengan kemampuan untuk merawa</w:t>
      </w:r>
      <w:r w:rsidR="00D02775">
        <w:rPr>
          <w:rFonts w:ascii="Times New Roman" w:hAnsi="Times New Roman" w:cs="Times New Roman"/>
          <w:sz w:val="24"/>
          <w:szCs w:val="24"/>
        </w:rPr>
        <w:t>t dan mengkonservasi ekosistem Goa P</w:t>
      </w:r>
      <w:r w:rsidRPr="005E5348">
        <w:rPr>
          <w:rFonts w:ascii="Times New Roman" w:hAnsi="Times New Roman" w:cs="Times New Roman"/>
          <w:sz w:val="24"/>
          <w:szCs w:val="24"/>
        </w:rPr>
        <w:t xml:space="preserve">indul maka akan melahirkan pengrusakan bersama oleh para pengelola. </w:t>
      </w:r>
    </w:p>
    <w:p w:rsidR="005E083D" w:rsidRDefault="005E083D" w:rsidP="005E083D">
      <w:pPr>
        <w:pStyle w:val="ListParagraph"/>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Kondisi semacam ini tentu harus dihindari. Sebab jika gagal diatasi akan menjadi insiden buruk bagi pengelolaan wisata berbasis komunitas di tempat lainnya. Padahal semangat yang berkembang saat ini adalah proses untuk mendorong bangkitanya komunitas dalam mengelola aset di lingkungannya sehingga muncul beragam sumber penghidupan yang berkelanjutan. </w:t>
      </w:r>
    </w:p>
    <w:p w:rsidR="005E5348" w:rsidRDefault="005E083D" w:rsidP="005E083D">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Keberhasilan warga desa Bejiharjo dalam mengelola aset lokalnya seperti wisata Goa Pindul ini harus terus dijaga, dipelihara dan bahkan terus dikembangkan di masa depan. Terelebih sudah nyata-nyata wisata Goa Pindul ini mendatangkan manfaat positif dalam penyerapan tenaga kerja, tumbuhnya perekonomian lokal dan meningkatnya pendapatan warga. Jangan pernah menyerah ketika terdapat dinamika permasaahan yang muncul. Untuk itu sebagai bahan rekomendasi perlu </w:t>
      </w:r>
      <w:r w:rsidR="005E5348">
        <w:rPr>
          <w:rFonts w:ascii="Times New Roman" w:hAnsi="Times New Roman" w:cs="Times New Roman"/>
          <w:sz w:val="24"/>
          <w:szCs w:val="24"/>
        </w:rPr>
        <w:t xml:space="preserve"> adanya hal-hal sebagai berikut:</w:t>
      </w:r>
    </w:p>
    <w:p w:rsidR="005E5348" w:rsidRDefault="005E5348" w:rsidP="004C1C4D">
      <w:pPr>
        <w:pStyle w:val="ListParagraph"/>
        <w:spacing w:after="0" w:line="360" w:lineRule="auto"/>
        <w:jc w:val="both"/>
        <w:rPr>
          <w:rFonts w:ascii="Times New Roman" w:hAnsi="Times New Roman" w:cs="Times New Roman"/>
          <w:sz w:val="24"/>
          <w:szCs w:val="24"/>
        </w:rPr>
      </w:pPr>
    </w:p>
    <w:p w:rsidR="000A30C4" w:rsidRDefault="005E5348" w:rsidP="004C1C4D">
      <w:pPr>
        <w:pStyle w:val="ListParagraph"/>
        <w:numPr>
          <w:ilvl w:val="0"/>
          <w:numId w:val="4"/>
        </w:numPr>
        <w:spacing w:after="0" w:line="360" w:lineRule="auto"/>
        <w:jc w:val="both"/>
        <w:rPr>
          <w:rFonts w:ascii="Times New Roman" w:hAnsi="Times New Roman" w:cs="Times New Roman"/>
          <w:sz w:val="24"/>
          <w:szCs w:val="24"/>
        </w:rPr>
      </w:pPr>
      <w:r w:rsidRPr="005E5348">
        <w:rPr>
          <w:rFonts w:ascii="Times New Roman" w:hAnsi="Times New Roman" w:cs="Times New Roman"/>
          <w:sz w:val="24"/>
          <w:szCs w:val="24"/>
        </w:rPr>
        <w:t>R</w:t>
      </w:r>
      <w:r w:rsidR="001C12B1" w:rsidRPr="005E5348">
        <w:rPr>
          <w:rFonts w:ascii="Times New Roman" w:hAnsi="Times New Roman" w:cs="Times New Roman"/>
          <w:sz w:val="24"/>
          <w:szCs w:val="24"/>
        </w:rPr>
        <w:t>egulasi-pengaturan tentang tata kelola untuk menjaga keberlanjutan dan pelestarian ek</w:t>
      </w:r>
      <w:r w:rsidRPr="005E5348">
        <w:rPr>
          <w:rFonts w:ascii="Times New Roman" w:hAnsi="Times New Roman" w:cs="Times New Roman"/>
          <w:sz w:val="24"/>
          <w:szCs w:val="24"/>
        </w:rPr>
        <w:t>osistem Gua P</w:t>
      </w:r>
      <w:r w:rsidR="001C12B1" w:rsidRPr="005E5348">
        <w:rPr>
          <w:rFonts w:ascii="Times New Roman" w:hAnsi="Times New Roman" w:cs="Times New Roman"/>
          <w:sz w:val="24"/>
          <w:szCs w:val="24"/>
        </w:rPr>
        <w:t xml:space="preserve">indul. </w:t>
      </w:r>
      <w:r w:rsidRPr="005E5348">
        <w:rPr>
          <w:rFonts w:ascii="Times New Roman" w:hAnsi="Times New Roman" w:cs="Times New Roman"/>
          <w:sz w:val="24"/>
          <w:szCs w:val="24"/>
        </w:rPr>
        <w:t>Regulasi itu menyangkut beberapa hal, misalnya pem</w:t>
      </w:r>
      <w:r>
        <w:rPr>
          <w:rFonts w:ascii="Times New Roman" w:hAnsi="Times New Roman" w:cs="Times New Roman"/>
          <w:sz w:val="24"/>
          <w:szCs w:val="24"/>
        </w:rPr>
        <w:t xml:space="preserve">batasan jumlah pengelola </w:t>
      </w:r>
      <w:r>
        <w:rPr>
          <w:rFonts w:ascii="Times New Roman" w:hAnsi="Times New Roman" w:cs="Times New Roman"/>
          <w:sz w:val="24"/>
          <w:szCs w:val="24"/>
        </w:rPr>
        <w:lastRenderedPageBreak/>
        <w:t>dalam P</w:t>
      </w:r>
      <w:r w:rsidRPr="005E5348">
        <w:rPr>
          <w:rFonts w:ascii="Times New Roman" w:hAnsi="Times New Roman" w:cs="Times New Roman"/>
          <w:sz w:val="24"/>
          <w:szCs w:val="24"/>
        </w:rPr>
        <w:t xml:space="preserve">okdarwis, perlu ada </w:t>
      </w:r>
      <w:r w:rsidRPr="005E5348">
        <w:rPr>
          <w:rFonts w:ascii="Times New Roman" w:hAnsi="Times New Roman" w:cs="Times New Roman"/>
          <w:i/>
          <w:sz w:val="24"/>
          <w:szCs w:val="24"/>
        </w:rPr>
        <w:t>Standar Operasioanl</w:t>
      </w:r>
      <w:r>
        <w:rPr>
          <w:rFonts w:ascii="Times New Roman" w:hAnsi="Times New Roman" w:cs="Times New Roman"/>
          <w:sz w:val="24"/>
          <w:szCs w:val="24"/>
        </w:rPr>
        <w:t xml:space="preserve"> </w:t>
      </w:r>
      <w:r w:rsidRPr="005E5348">
        <w:rPr>
          <w:rFonts w:ascii="Times New Roman" w:hAnsi="Times New Roman" w:cs="Times New Roman"/>
          <w:i/>
          <w:sz w:val="24"/>
          <w:szCs w:val="24"/>
        </w:rPr>
        <w:t>Prosedur (</w:t>
      </w:r>
      <w:r>
        <w:rPr>
          <w:rFonts w:ascii="Times New Roman" w:hAnsi="Times New Roman" w:cs="Times New Roman"/>
          <w:sz w:val="24"/>
          <w:szCs w:val="24"/>
        </w:rPr>
        <w:t>SOP) P</w:t>
      </w:r>
      <w:r w:rsidRPr="005E5348">
        <w:rPr>
          <w:rFonts w:ascii="Times New Roman" w:hAnsi="Times New Roman" w:cs="Times New Roman"/>
          <w:sz w:val="24"/>
          <w:szCs w:val="24"/>
        </w:rPr>
        <w:t>okdarwis dalam menerima dan</w:t>
      </w:r>
      <w:r>
        <w:rPr>
          <w:rFonts w:ascii="Times New Roman" w:hAnsi="Times New Roman" w:cs="Times New Roman"/>
          <w:sz w:val="24"/>
          <w:szCs w:val="24"/>
        </w:rPr>
        <w:t xml:space="preserve"> mengantar wisatawan, komitmen P</w:t>
      </w:r>
      <w:r w:rsidRPr="005E5348">
        <w:rPr>
          <w:rFonts w:ascii="Times New Roman" w:hAnsi="Times New Roman" w:cs="Times New Roman"/>
          <w:sz w:val="24"/>
          <w:szCs w:val="24"/>
        </w:rPr>
        <w:t>okdarwis dan masyarakat sekitar dalam memel</w:t>
      </w:r>
      <w:r>
        <w:rPr>
          <w:rFonts w:ascii="Times New Roman" w:hAnsi="Times New Roman" w:cs="Times New Roman"/>
          <w:sz w:val="24"/>
          <w:szCs w:val="24"/>
        </w:rPr>
        <w:t>ihara keberlanjutan eksosistem Goa P</w:t>
      </w:r>
      <w:r w:rsidRPr="005E5348">
        <w:rPr>
          <w:rFonts w:ascii="Times New Roman" w:hAnsi="Times New Roman" w:cs="Times New Roman"/>
          <w:sz w:val="24"/>
          <w:szCs w:val="24"/>
        </w:rPr>
        <w:t>indul</w:t>
      </w:r>
      <w:r>
        <w:rPr>
          <w:rFonts w:ascii="Times New Roman" w:hAnsi="Times New Roman" w:cs="Times New Roman"/>
          <w:sz w:val="24"/>
          <w:szCs w:val="24"/>
        </w:rPr>
        <w:t>, terutama untuk menghindari tragedy of the commen dan agar aset lokal sebagai sumber penghidupan warga terus berkelanjutan.</w:t>
      </w:r>
    </w:p>
    <w:p w:rsidR="00D064BD" w:rsidRPr="005E5348" w:rsidRDefault="001C12B1" w:rsidP="004C1C4D">
      <w:pPr>
        <w:pStyle w:val="ListParagraph"/>
        <w:numPr>
          <w:ilvl w:val="0"/>
          <w:numId w:val="4"/>
        </w:numPr>
        <w:spacing w:after="0" w:line="360" w:lineRule="auto"/>
        <w:jc w:val="both"/>
        <w:rPr>
          <w:rFonts w:ascii="Times New Roman" w:hAnsi="Times New Roman" w:cs="Times New Roman"/>
          <w:sz w:val="24"/>
          <w:szCs w:val="24"/>
        </w:rPr>
      </w:pPr>
      <w:r w:rsidRPr="005E5348">
        <w:rPr>
          <w:rFonts w:ascii="Times New Roman" w:hAnsi="Times New Roman" w:cs="Times New Roman"/>
          <w:sz w:val="24"/>
          <w:szCs w:val="24"/>
        </w:rPr>
        <w:t>Pemerintah daerah secara konsisten untuk mengembangkan kebijakan penanggulangan kemiskinan berbasis masyarakat atas situs-situs wisata alam</w:t>
      </w:r>
      <w:r w:rsidR="005E5348">
        <w:rPr>
          <w:rFonts w:ascii="Times New Roman" w:hAnsi="Times New Roman" w:cs="Times New Roman"/>
          <w:sz w:val="24"/>
          <w:szCs w:val="24"/>
        </w:rPr>
        <w:t xml:space="preserve"> lainnya</w:t>
      </w:r>
      <w:r w:rsidRPr="005E5348">
        <w:rPr>
          <w:rFonts w:ascii="Times New Roman" w:hAnsi="Times New Roman" w:cs="Times New Roman"/>
          <w:sz w:val="24"/>
          <w:szCs w:val="24"/>
        </w:rPr>
        <w:t xml:space="preserve">. </w:t>
      </w:r>
    </w:p>
    <w:p w:rsidR="00D064BD" w:rsidRPr="005E5348" w:rsidRDefault="001C12B1" w:rsidP="004C1C4D">
      <w:pPr>
        <w:pStyle w:val="ListParagraph"/>
        <w:numPr>
          <w:ilvl w:val="0"/>
          <w:numId w:val="4"/>
        </w:numPr>
        <w:spacing w:after="0" w:line="360" w:lineRule="auto"/>
        <w:jc w:val="both"/>
        <w:rPr>
          <w:rFonts w:ascii="Times New Roman" w:hAnsi="Times New Roman" w:cs="Times New Roman"/>
          <w:sz w:val="24"/>
          <w:szCs w:val="24"/>
        </w:rPr>
      </w:pPr>
      <w:r w:rsidRPr="005E5348">
        <w:rPr>
          <w:rFonts w:ascii="Times New Roman" w:hAnsi="Times New Roman" w:cs="Times New Roman"/>
          <w:sz w:val="24"/>
          <w:szCs w:val="24"/>
        </w:rPr>
        <w:t>Sumber-sumber daya alam strategis harus dapat dikuasai oleh negara dan dapat dikelola berbasis masyarakat dengan tetap memperhatikan keseimbangan antara prinsip ekonomi dan dan kelestarian lingkungan.</w:t>
      </w:r>
    </w:p>
    <w:p w:rsidR="00D064BD" w:rsidRDefault="005E5348" w:rsidP="004C1C4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Pemerintah D</w:t>
      </w:r>
      <w:r w:rsidR="001C12B1" w:rsidRPr="005E5348">
        <w:rPr>
          <w:rFonts w:ascii="Times New Roman" w:hAnsi="Times New Roman" w:cs="Times New Roman"/>
          <w:sz w:val="24"/>
          <w:szCs w:val="24"/>
        </w:rPr>
        <w:t xml:space="preserve">aerah </w:t>
      </w:r>
      <w:r>
        <w:rPr>
          <w:rFonts w:ascii="Times New Roman" w:hAnsi="Times New Roman" w:cs="Times New Roman"/>
          <w:sz w:val="24"/>
          <w:szCs w:val="24"/>
        </w:rPr>
        <w:t>membuat tata kelola wisata ber</w:t>
      </w:r>
      <w:r w:rsidR="001C12B1" w:rsidRPr="005E5348">
        <w:rPr>
          <w:rFonts w:ascii="Times New Roman" w:hAnsi="Times New Roman" w:cs="Times New Roman"/>
          <w:sz w:val="24"/>
          <w:szCs w:val="24"/>
        </w:rPr>
        <w:t>basis masyarakat ini dengan institusi desa dan institusi sosial lainnya di masyarakat agar akses bersama p</w:t>
      </w:r>
      <w:r>
        <w:rPr>
          <w:rFonts w:ascii="Times New Roman" w:hAnsi="Times New Roman" w:cs="Times New Roman"/>
          <w:sz w:val="24"/>
          <w:szCs w:val="24"/>
        </w:rPr>
        <w:t>engelolaan wisata alam, sepeti Gua P</w:t>
      </w:r>
      <w:r w:rsidR="001C12B1" w:rsidRPr="005E5348">
        <w:rPr>
          <w:rFonts w:ascii="Times New Roman" w:hAnsi="Times New Roman" w:cs="Times New Roman"/>
          <w:sz w:val="24"/>
          <w:szCs w:val="24"/>
        </w:rPr>
        <w:t>indul mengedepankan keselarasan kepentingan ekonomi, ekosistem alam dan keberlanjutan serta rasa nyaman dan aman pengunjung.</w:t>
      </w:r>
    </w:p>
    <w:p w:rsidR="005E5348" w:rsidRPr="005E083D" w:rsidRDefault="005E5348" w:rsidP="004C1C4D">
      <w:pPr>
        <w:pStyle w:val="ListParagraph"/>
        <w:numPr>
          <w:ilvl w:val="0"/>
          <w:numId w:val="4"/>
        </w:numPr>
        <w:spacing w:after="0" w:line="360" w:lineRule="auto"/>
        <w:jc w:val="both"/>
        <w:rPr>
          <w:rFonts w:ascii="Times New Roman" w:hAnsi="Times New Roman" w:cs="Times New Roman"/>
          <w:sz w:val="24"/>
          <w:szCs w:val="24"/>
        </w:rPr>
      </w:pPr>
      <w:r w:rsidRPr="005E5348">
        <w:rPr>
          <w:rFonts w:ascii="Times New Roman" w:hAnsi="Times New Roman" w:cs="Times New Roman"/>
          <w:sz w:val="24"/>
          <w:szCs w:val="24"/>
        </w:rPr>
        <w:t>Dalam suasana konflik yang masih berlangsung, pemerintah terus memberi kepastian aga wisata ini tetap berjalan, sambil melakukan proses negoisasi terhadap pihak-pihak yang berkonflik untuk tetap mengedepankan perdamaian</w:t>
      </w:r>
      <w:r>
        <w:rPr>
          <w:rFonts w:ascii="Times New Roman" w:hAnsi="Times New Roman" w:cs="Times New Roman"/>
          <w:sz w:val="24"/>
          <w:szCs w:val="24"/>
        </w:rPr>
        <w:t>.</w:t>
      </w:r>
    </w:p>
    <w:p w:rsidR="005E083D" w:rsidRDefault="005E083D" w:rsidP="005E083D">
      <w:pPr>
        <w:spacing w:after="0" w:line="360" w:lineRule="auto"/>
        <w:jc w:val="both"/>
        <w:rPr>
          <w:rFonts w:ascii="Times New Roman" w:hAnsi="Times New Roman" w:cs="Times New Roman"/>
          <w:sz w:val="24"/>
          <w:szCs w:val="24"/>
          <w:lang w:val="id-ID"/>
        </w:rPr>
      </w:pPr>
    </w:p>
    <w:p w:rsidR="005E083D" w:rsidRPr="005E083D" w:rsidRDefault="005E083D" w:rsidP="005E083D">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Kelima rekomendasi diatas ini berasal dari proses penelitian, sebab itu sangat perlu untuk dipertimbangkan dalam proses pengmbilan kebijakan. Juga dapat juga sebagai bahan refleksi bagi pihak manapun dalam proses pengelolaan wisata berbasis komunitas sehingga lika-likunya dapat diketahui sedari awal. </w:t>
      </w:r>
      <w:r>
        <w:rPr>
          <w:rFonts w:ascii="Times New Roman" w:hAnsi="Times New Roman" w:cs="Times New Roman"/>
          <w:sz w:val="24"/>
          <w:szCs w:val="24"/>
          <w:lang w:val="id-ID"/>
        </w:rPr>
        <w:lastRenderedPageBreak/>
        <w:t>Potret dinamika pariwisata Goa Pindul dapat memberi inspirasi tempat-tempat lainnya, tidak hanya di Gunungkidul sendiri, namun juga di tempat lainnya di Indonesia.  Kita berharap ke depan, Desa Bejiharjo terus berkarya dan menemukan aset-aset lokal lainnya untuk dikembangkan sehingga semkain mendatangkan kemakmuran bagi warganya.</w:t>
      </w:r>
    </w:p>
    <w:p w:rsidR="004C1C4D" w:rsidRDefault="004C1C4D" w:rsidP="004C1C4D">
      <w:pPr>
        <w:spacing w:after="0" w:line="360" w:lineRule="auto"/>
        <w:jc w:val="both"/>
        <w:rPr>
          <w:rFonts w:ascii="Times New Roman" w:hAnsi="Times New Roman" w:cs="Times New Roman"/>
          <w:sz w:val="24"/>
          <w:szCs w:val="24"/>
        </w:rPr>
      </w:pPr>
    </w:p>
    <w:p w:rsidR="004C1C4D" w:rsidRDefault="004C1C4D" w:rsidP="004C1C4D">
      <w:pPr>
        <w:jc w:val="both"/>
        <w:rPr>
          <w:rFonts w:ascii="Times New Roman" w:hAnsi="Times New Roman" w:cs="Times New Roman"/>
          <w:sz w:val="24"/>
          <w:szCs w:val="24"/>
        </w:rPr>
      </w:pPr>
    </w:p>
    <w:p w:rsidR="004C1C4D" w:rsidRDefault="004C1C4D" w:rsidP="004C1C4D">
      <w:pPr>
        <w:jc w:val="both"/>
        <w:rPr>
          <w:rFonts w:ascii="Times New Roman" w:hAnsi="Times New Roman" w:cs="Times New Roman"/>
          <w:sz w:val="24"/>
          <w:szCs w:val="24"/>
        </w:rPr>
      </w:pPr>
    </w:p>
    <w:p w:rsidR="00D02775" w:rsidRDefault="00D02775" w:rsidP="004C1C4D">
      <w:pPr>
        <w:jc w:val="both"/>
        <w:rPr>
          <w:rFonts w:ascii="Times New Roman" w:hAnsi="Times New Roman" w:cs="Times New Roman"/>
          <w:sz w:val="24"/>
          <w:szCs w:val="24"/>
          <w:lang w:val="id-ID"/>
        </w:rPr>
      </w:pPr>
    </w:p>
    <w:p w:rsidR="005E083D" w:rsidRDefault="005E083D" w:rsidP="004C1C4D">
      <w:pPr>
        <w:jc w:val="both"/>
        <w:rPr>
          <w:rFonts w:ascii="Times New Roman" w:hAnsi="Times New Roman" w:cs="Times New Roman"/>
          <w:sz w:val="24"/>
          <w:szCs w:val="24"/>
          <w:lang w:val="id-ID"/>
        </w:rPr>
      </w:pPr>
    </w:p>
    <w:p w:rsidR="005E083D" w:rsidRDefault="005E083D" w:rsidP="004C1C4D">
      <w:pPr>
        <w:jc w:val="both"/>
        <w:rPr>
          <w:rFonts w:ascii="Times New Roman" w:hAnsi="Times New Roman" w:cs="Times New Roman"/>
          <w:sz w:val="24"/>
          <w:szCs w:val="24"/>
          <w:lang w:val="id-ID"/>
        </w:rPr>
      </w:pPr>
    </w:p>
    <w:p w:rsidR="005E083D" w:rsidRDefault="005E083D" w:rsidP="004C1C4D">
      <w:pPr>
        <w:jc w:val="both"/>
        <w:rPr>
          <w:rFonts w:ascii="Times New Roman" w:hAnsi="Times New Roman" w:cs="Times New Roman"/>
          <w:sz w:val="24"/>
          <w:szCs w:val="24"/>
          <w:lang w:val="id-ID"/>
        </w:rPr>
      </w:pPr>
    </w:p>
    <w:p w:rsidR="005E083D" w:rsidRDefault="005E083D" w:rsidP="004C1C4D">
      <w:pPr>
        <w:jc w:val="both"/>
        <w:rPr>
          <w:rFonts w:ascii="Times New Roman" w:hAnsi="Times New Roman" w:cs="Times New Roman"/>
          <w:sz w:val="24"/>
          <w:szCs w:val="24"/>
          <w:lang w:val="id-ID"/>
        </w:rPr>
      </w:pPr>
    </w:p>
    <w:p w:rsidR="005E083D" w:rsidRDefault="005E083D" w:rsidP="004C1C4D">
      <w:pPr>
        <w:jc w:val="both"/>
        <w:rPr>
          <w:rFonts w:ascii="Times New Roman" w:hAnsi="Times New Roman" w:cs="Times New Roman"/>
          <w:sz w:val="24"/>
          <w:szCs w:val="24"/>
          <w:lang w:val="id-ID"/>
        </w:rPr>
      </w:pPr>
    </w:p>
    <w:p w:rsidR="005E083D" w:rsidRDefault="005E083D" w:rsidP="004C1C4D">
      <w:pPr>
        <w:jc w:val="both"/>
        <w:rPr>
          <w:rFonts w:ascii="Times New Roman" w:hAnsi="Times New Roman" w:cs="Times New Roman"/>
          <w:sz w:val="24"/>
          <w:szCs w:val="24"/>
          <w:lang w:val="id-ID"/>
        </w:rPr>
      </w:pPr>
    </w:p>
    <w:p w:rsidR="005E083D" w:rsidRDefault="005E083D" w:rsidP="004C1C4D">
      <w:pPr>
        <w:jc w:val="both"/>
        <w:rPr>
          <w:rFonts w:ascii="Times New Roman" w:hAnsi="Times New Roman" w:cs="Times New Roman"/>
          <w:sz w:val="24"/>
          <w:szCs w:val="24"/>
          <w:lang w:val="id-ID"/>
        </w:rPr>
      </w:pPr>
    </w:p>
    <w:p w:rsidR="005E083D" w:rsidRDefault="005E083D" w:rsidP="004C1C4D">
      <w:pPr>
        <w:jc w:val="both"/>
        <w:rPr>
          <w:rFonts w:ascii="Times New Roman" w:hAnsi="Times New Roman" w:cs="Times New Roman"/>
          <w:sz w:val="24"/>
          <w:szCs w:val="24"/>
          <w:lang w:val="id-ID"/>
        </w:rPr>
      </w:pPr>
    </w:p>
    <w:p w:rsidR="005E083D" w:rsidRDefault="005E083D" w:rsidP="004C1C4D">
      <w:pPr>
        <w:jc w:val="both"/>
        <w:rPr>
          <w:rFonts w:ascii="Times New Roman" w:hAnsi="Times New Roman" w:cs="Times New Roman"/>
          <w:sz w:val="24"/>
          <w:szCs w:val="24"/>
          <w:lang w:val="id-ID"/>
        </w:rPr>
      </w:pPr>
    </w:p>
    <w:p w:rsidR="005E083D" w:rsidRDefault="005E083D" w:rsidP="004C1C4D">
      <w:pPr>
        <w:jc w:val="both"/>
        <w:rPr>
          <w:rFonts w:ascii="Times New Roman" w:hAnsi="Times New Roman" w:cs="Times New Roman"/>
          <w:sz w:val="24"/>
          <w:szCs w:val="24"/>
          <w:lang w:val="id-ID"/>
        </w:rPr>
      </w:pPr>
    </w:p>
    <w:p w:rsidR="005E083D" w:rsidRDefault="005E083D" w:rsidP="004C1C4D">
      <w:pPr>
        <w:jc w:val="both"/>
        <w:rPr>
          <w:rFonts w:ascii="Times New Roman" w:hAnsi="Times New Roman" w:cs="Times New Roman"/>
          <w:sz w:val="24"/>
          <w:szCs w:val="24"/>
          <w:lang w:val="id-ID"/>
        </w:rPr>
      </w:pPr>
    </w:p>
    <w:p w:rsidR="005E083D" w:rsidRDefault="005E083D" w:rsidP="004C1C4D">
      <w:pPr>
        <w:jc w:val="both"/>
        <w:rPr>
          <w:rFonts w:ascii="Times New Roman" w:hAnsi="Times New Roman" w:cs="Times New Roman"/>
          <w:sz w:val="24"/>
          <w:szCs w:val="24"/>
          <w:lang w:val="id-ID"/>
        </w:rPr>
      </w:pPr>
    </w:p>
    <w:p w:rsidR="005E083D" w:rsidRDefault="005E083D" w:rsidP="004C1C4D">
      <w:pPr>
        <w:jc w:val="both"/>
        <w:rPr>
          <w:rFonts w:ascii="Times New Roman" w:hAnsi="Times New Roman" w:cs="Times New Roman"/>
          <w:sz w:val="24"/>
          <w:szCs w:val="24"/>
          <w:lang w:val="id-ID"/>
        </w:rPr>
      </w:pPr>
    </w:p>
    <w:p w:rsidR="005E083D" w:rsidRDefault="005E083D" w:rsidP="004C1C4D">
      <w:pPr>
        <w:jc w:val="both"/>
        <w:rPr>
          <w:rFonts w:ascii="Times New Roman" w:hAnsi="Times New Roman" w:cs="Times New Roman"/>
          <w:sz w:val="24"/>
          <w:szCs w:val="24"/>
          <w:lang w:val="id-ID"/>
        </w:rPr>
      </w:pPr>
    </w:p>
    <w:p w:rsidR="004C1C4D" w:rsidRDefault="004C1C4D" w:rsidP="004C1C4D">
      <w:pPr>
        <w:pStyle w:val="ListParagraph"/>
        <w:spacing w:after="0" w:line="360" w:lineRule="auto"/>
        <w:jc w:val="center"/>
        <w:rPr>
          <w:rFonts w:ascii="Times New Roman" w:hAnsi="Times New Roman" w:cs="Times New Roman"/>
          <w:b/>
          <w:sz w:val="24"/>
          <w:szCs w:val="24"/>
        </w:rPr>
      </w:pPr>
      <w:r w:rsidRPr="00463D71">
        <w:rPr>
          <w:rFonts w:ascii="Times New Roman" w:hAnsi="Times New Roman" w:cs="Times New Roman"/>
          <w:b/>
          <w:sz w:val="24"/>
          <w:szCs w:val="24"/>
        </w:rPr>
        <w:lastRenderedPageBreak/>
        <w:t>Daftar Pustaka</w:t>
      </w:r>
    </w:p>
    <w:p w:rsidR="001C12B1" w:rsidRPr="00463D71" w:rsidRDefault="001C12B1" w:rsidP="004C1C4D">
      <w:pPr>
        <w:pStyle w:val="ListParagraph"/>
        <w:spacing w:after="0" w:line="360" w:lineRule="auto"/>
        <w:jc w:val="center"/>
        <w:rPr>
          <w:rFonts w:ascii="Times New Roman" w:hAnsi="Times New Roman" w:cs="Times New Roman"/>
          <w:b/>
          <w:sz w:val="24"/>
          <w:szCs w:val="24"/>
        </w:rPr>
      </w:pPr>
    </w:p>
    <w:p w:rsidR="004C1C4D" w:rsidRPr="003E2BD8" w:rsidRDefault="004C1C4D" w:rsidP="004C1C4D">
      <w:pPr>
        <w:spacing w:line="360" w:lineRule="auto"/>
        <w:ind w:left="1530" w:hanging="810"/>
        <w:rPr>
          <w:rFonts w:ascii="Times New Roman" w:hAnsi="Times New Roman" w:cs="Times New Roman"/>
          <w:sz w:val="24"/>
          <w:szCs w:val="24"/>
        </w:rPr>
      </w:pPr>
      <w:r w:rsidRPr="003E2BD8">
        <w:rPr>
          <w:rFonts w:ascii="Times New Roman" w:hAnsi="Times New Roman" w:cs="Times New Roman"/>
          <w:sz w:val="24"/>
          <w:szCs w:val="24"/>
        </w:rPr>
        <w:t xml:space="preserve">Collinson, Sarah, </w:t>
      </w:r>
      <w:r w:rsidRPr="003E2BD8">
        <w:rPr>
          <w:rFonts w:ascii="Times New Roman" w:hAnsi="Times New Roman" w:cs="Times New Roman"/>
          <w:i/>
          <w:sz w:val="24"/>
          <w:szCs w:val="24"/>
        </w:rPr>
        <w:t xml:space="preserve">Power, Livelihood and Conflicts, Case studies and political economy analysis for humanitarian action, </w:t>
      </w:r>
      <w:r w:rsidRPr="003E2BD8">
        <w:rPr>
          <w:rFonts w:ascii="Times New Roman" w:hAnsi="Times New Roman" w:cs="Times New Roman"/>
          <w:sz w:val="24"/>
          <w:szCs w:val="24"/>
        </w:rPr>
        <w:t>ummanitarian Policy Group Report 13, 2003.</w:t>
      </w:r>
    </w:p>
    <w:p w:rsidR="00533B21" w:rsidRDefault="004C1C4D" w:rsidP="004C1C4D">
      <w:pPr>
        <w:spacing w:line="360" w:lineRule="auto"/>
        <w:ind w:left="1530" w:hanging="720"/>
        <w:rPr>
          <w:rFonts w:ascii="Times New Roman" w:hAnsi="Times New Roman" w:cs="Times New Roman"/>
          <w:sz w:val="24"/>
          <w:szCs w:val="24"/>
        </w:rPr>
      </w:pPr>
      <w:r w:rsidRPr="003E2BD8">
        <w:rPr>
          <w:rFonts w:ascii="Times New Roman" w:hAnsi="Times New Roman" w:cs="Times New Roman"/>
          <w:sz w:val="24"/>
          <w:szCs w:val="24"/>
        </w:rPr>
        <w:t xml:space="preserve">Chambers, Robert,  </w:t>
      </w:r>
      <w:r w:rsidRPr="003E2BD8">
        <w:rPr>
          <w:rFonts w:ascii="Times New Roman" w:hAnsi="Times New Roman" w:cs="Times New Roman"/>
          <w:i/>
          <w:sz w:val="24"/>
          <w:szCs w:val="24"/>
        </w:rPr>
        <w:t>Pembangunan Desa: Mulai Dari Belakang</w:t>
      </w:r>
      <w:r w:rsidRPr="003E2BD8">
        <w:rPr>
          <w:rFonts w:ascii="Times New Roman" w:hAnsi="Times New Roman" w:cs="Times New Roman"/>
          <w:sz w:val="24"/>
          <w:szCs w:val="24"/>
        </w:rPr>
        <w:t>, LP3ES, Jakarta, 1987.</w:t>
      </w:r>
    </w:p>
    <w:p w:rsidR="00533B21" w:rsidRDefault="004C1C4D" w:rsidP="004C1C4D">
      <w:pPr>
        <w:spacing w:line="360" w:lineRule="auto"/>
        <w:ind w:left="1530" w:hanging="720"/>
        <w:rPr>
          <w:rFonts w:ascii="Times New Roman" w:hAnsi="Times New Roman" w:cs="Times New Roman"/>
        </w:rPr>
      </w:pPr>
      <w:r w:rsidRPr="003E2BD8">
        <w:rPr>
          <w:rFonts w:ascii="Times New Roman" w:hAnsi="Times New Roman" w:cs="Times New Roman"/>
          <w:sz w:val="24"/>
          <w:szCs w:val="24"/>
        </w:rPr>
        <w:t xml:space="preserve"> </w:t>
      </w:r>
      <w:r w:rsidR="00533B21" w:rsidRPr="00B20449">
        <w:rPr>
          <w:rFonts w:ascii="Times New Roman" w:hAnsi="Times New Roman"/>
          <w:color w:val="000000" w:themeColor="text1"/>
          <w:sz w:val="24"/>
          <w:szCs w:val="24"/>
          <w:lang w:val="sv-SE"/>
        </w:rPr>
        <w:t>Chambers</w:t>
      </w:r>
      <w:r w:rsidR="00533B21">
        <w:rPr>
          <w:rFonts w:ascii="Times New Roman" w:hAnsi="Times New Roman"/>
          <w:color w:val="000000" w:themeColor="text1"/>
          <w:sz w:val="24"/>
          <w:szCs w:val="24"/>
          <w:lang w:val="sv-SE"/>
        </w:rPr>
        <w:t>, Robert</w:t>
      </w:r>
      <w:r w:rsidR="00533B21" w:rsidRPr="00B20449">
        <w:rPr>
          <w:rFonts w:ascii="Times New Roman" w:hAnsi="Times New Roman"/>
          <w:color w:val="000000" w:themeColor="text1"/>
          <w:sz w:val="24"/>
          <w:szCs w:val="24"/>
          <w:lang w:val="sv-SE"/>
        </w:rPr>
        <w:t xml:space="preserve">  dan G. Conway</w:t>
      </w:r>
      <w:r w:rsidR="00533B21">
        <w:rPr>
          <w:rFonts w:ascii="Times New Roman" w:hAnsi="Times New Roman"/>
          <w:color w:val="000000" w:themeColor="text1"/>
          <w:sz w:val="24"/>
          <w:szCs w:val="24"/>
          <w:lang w:val="sv-SE"/>
        </w:rPr>
        <w:t>,</w:t>
      </w:r>
      <w:r w:rsidR="00533B21" w:rsidRPr="00B20449">
        <w:rPr>
          <w:rFonts w:ascii="Times New Roman" w:hAnsi="Times New Roman"/>
          <w:color w:val="000000" w:themeColor="text1"/>
          <w:sz w:val="24"/>
          <w:szCs w:val="24"/>
          <w:lang w:val="sv-SE"/>
        </w:rPr>
        <w:t xml:space="preserve"> </w:t>
      </w:r>
      <w:r w:rsidR="00533B21" w:rsidRPr="00B20449">
        <w:rPr>
          <w:rFonts w:ascii="Times New Roman" w:hAnsi="Times New Roman"/>
          <w:i/>
          <w:iCs/>
          <w:color w:val="000000" w:themeColor="text1"/>
          <w:sz w:val="24"/>
          <w:szCs w:val="24"/>
          <w:lang w:val="sv-SE"/>
        </w:rPr>
        <w:t>“Sustainable Rural Livelihoods: Practical Concepts for 21</w:t>
      </w:r>
      <w:r w:rsidR="00533B21" w:rsidRPr="00B20449">
        <w:rPr>
          <w:rFonts w:ascii="Times New Roman" w:hAnsi="Times New Roman"/>
          <w:i/>
          <w:iCs/>
          <w:color w:val="000000" w:themeColor="text1"/>
          <w:sz w:val="24"/>
          <w:szCs w:val="24"/>
          <w:vertAlign w:val="superscript"/>
          <w:lang w:val="sv-SE"/>
        </w:rPr>
        <w:t>st</w:t>
      </w:r>
      <w:r w:rsidR="00533B21" w:rsidRPr="00B20449">
        <w:rPr>
          <w:rFonts w:ascii="Times New Roman" w:hAnsi="Times New Roman"/>
          <w:i/>
          <w:iCs/>
          <w:color w:val="000000" w:themeColor="text1"/>
          <w:sz w:val="24"/>
          <w:szCs w:val="24"/>
          <w:lang w:val="sv-SE"/>
        </w:rPr>
        <w:t xml:space="preserve"> Century</w:t>
      </w:r>
      <w:r w:rsidR="00533B21" w:rsidRPr="00B20449">
        <w:rPr>
          <w:rFonts w:ascii="Times New Roman" w:hAnsi="Times New Roman"/>
          <w:color w:val="000000" w:themeColor="text1"/>
          <w:sz w:val="24"/>
          <w:szCs w:val="24"/>
          <w:lang w:val="sv-SE"/>
        </w:rPr>
        <w:t>”</w:t>
      </w:r>
      <w:r w:rsidR="00533B21">
        <w:rPr>
          <w:rFonts w:ascii="Times New Roman" w:hAnsi="Times New Roman"/>
          <w:color w:val="000000" w:themeColor="text1"/>
          <w:sz w:val="24"/>
          <w:szCs w:val="24"/>
          <w:lang w:val="sv-SE"/>
        </w:rPr>
        <w:t>, IDS Disscassion paper, 296, 1992.</w:t>
      </w:r>
      <w:r w:rsidR="00533B21" w:rsidRPr="00533B21">
        <w:rPr>
          <w:rFonts w:ascii="Times New Roman" w:hAnsi="Times New Roman" w:cs="Times New Roman"/>
        </w:rPr>
        <w:t xml:space="preserve"> </w:t>
      </w:r>
    </w:p>
    <w:p w:rsidR="004C1C4D" w:rsidRDefault="00533B21" w:rsidP="004C1C4D">
      <w:pPr>
        <w:spacing w:line="360" w:lineRule="auto"/>
        <w:ind w:left="1530" w:hanging="720"/>
        <w:rPr>
          <w:rFonts w:ascii="Times New Roman" w:hAnsi="Times New Roman"/>
          <w:color w:val="000000" w:themeColor="text1"/>
          <w:sz w:val="24"/>
          <w:szCs w:val="24"/>
          <w:lang w:val="sv-SE"/>
        </w:rPr>
      </w:pPr>
      <w:r w:rsidRPr="00533B21">
        <w:rPr>
          <w:rFonts w:ascii="Times New Roman" w:hAnsi="Times New Roman" w:cs="Times New Roman"/>
          <w:sz w:val="24"/>
          <w:szCs w:val="24"/>
        </w:rPr>
        <w:t xml:space="preserve">C, Asley dan D. Carney, </w:t>
      </w:r>
      <w:r w:rsidRPr="00533B21">
        <w:rPr>
          <w:rFonts w:ascii="Times New Roman" w:hAnsi="Times New Roman" w:cs="Times New Roman"/>
          <w:i/>
          <w:sz w:val="24"/>
          <w:szCs w:val="24"/>
        </w:rPr>
        <w:t>Sustainable Livelihood: Lessons from Early Experience</w:t>
      </w:r>
      <w:r w:rsidRPr="00533B21">
        <w:rPr>
          <w:rFonts w:ascii="Times New Roman" w:hAnsi="Times New Roman" w:cs="Times New Roman"/>
          <w:sz w:val="24"/>
          <w:szCs w:val="24"/>
        </w:rPr>
        <w:t>, London DFID, 1999</w:t>
      </w:r>
      <w:r>
        <w:rPr>
          <w:rFonts w:ascii="Times New Roman" w:hAnsi="Times New Roman" w:cs="Times New Roman"/>
        </w:rPr>
        <w:t>.</w:t>
      </w:r>
    </w:p>
    <w:p w:rsidR="00533B21" w:rsidRPr="003E2BD8" w:rsidRDefault="00533B21" w:rsidP="004C1C4D">
      <w:pPr>
        <w:spacing w:line="360" w:lineRule="auto"/>
        <w:ind w:left="1530" w:hanging="720"/>
        <w:rPr>
          <w:rFonts w:ascii="Times New Roman" w:hAnsi="Times New Roman" w:cs="Times New Roman"/>
          <w:sz w:val="24"/>
          <w:szCs w:val="24"/>
        </w:rPr>
      </w:pPr>
      <w:r w:rsidRPr="00B20449">
        <w:rPr>
          <w:rFonts w:ascii="Times New Roman" w:hAnsi="Times New Roman"/>
          <w:sz w:val="24"/>
          <w:szCs w:val="24"/>
          <w:lang w:val="sv-SE"/>
        </w:rPr>
        <w:t>DFID (</w:t>
      </w:r>
      <w:r w:rsidRPr="00B20449">
        <w:rPr>
          <w:rFonts w:ascii="Times New Roman" w:hAnsi="Times New Roman"/>
          <w:i/>
          <w:iCs/>
          <w:sz w:val="24"/>
          <w:szCs w:val="24"/>
          <w:lang w:val="sv-SE"/>
        </w:rPr>
        <w:t>Department for International Development</w:t>
      </w:r>
      <w:r w:rsidRPr="00B20449">
        <w:rPr>
          <w:rFonts w:ascii="Times New Roman" w:hAnsi="Times New Roman"/>
          <w:sz w:val="24"/>
          <w:szCs w:val="24"/>
          <w:lang w:val="sv-SE"/>
        </w:rPr>
        <w:t>)</w:t>
      </w:r>
      <w:r>
        <w:rPr>
          <w:rFonts w:ascii="Times New Roman" w:hAnsi="Times New Roman"/>
          <w:sz w:val="24"/>
          <w:szCs w:val="24"/>
          <w:lang w:val="sv-SE"/>
        </w:rPr>
        <w:t>,</w:t>
      </w:r>
      <w:r w:rsidRPr="00533B21">
        <w:rPr>
          <w:rFonts w:ascii="Times New Roman" w:hAnsi="Times New Roman"/>
          <w:i/>
          <w:iCs/>
          <w:sz w:val="24"/>
          <w:szCs w:val="24"/>
          <w:lang w:val="sv-SE"/>
        </w:rPr>
        <w:t xml:space="preserve"> </w:t>
      </w:r>
      <w:r w:rsidRPr="00B20449">
        <w:rPr>
          <w:rFonts w:ascii="Times New Roman" w:hAnsi="Times New Roman"/>
          <w:i/>
          <w:iCs/>
          <w:sz w:val="24"/>
          <w:szCs w:val="24"/>
          <w:lang w:val="sv-SE"/>
        </w:rPr>
        <w:t>Sustainable Livelihood Guidance Sheet</w:t>
      </w:r>
      <w:r>
        <w:rPr>
          <w:rFonts w:ascii="Times New Roman" w:hAnsi="Times New Roman"/>
          <w:sz w:val="24"/>
          <w:szCs w:val="24"/>
          <w:lang w:val="sv-SE"/>
        </w:rPr>
        <w:t>,London; DFID, 1999.</w:t>
      </w:r>
    </w:p>
    <w:p w:rsidR="004C1C4D" w:rsidRDefault="004C1C4D" w:rsidP="004C1C4D">
      <w:pPr>
        <w:spacing w:line="360" w:lineRule="auto"/>
        <w:ind w:left="1530" w:hanging="810"/>
        <w:rPr>
          <w:rFonts w:ascii="Times New Roman" w:hAnsi="Times New Roman" w:cs="Times New Roman"/>
          <w:sz w:val="24"/>
          <w:szCs w:val="24"/>
        </w:rPr>
      </w:pPr>
      <w:r w:rsidRPr="003E2BD8">
        <w:rPr>
          <w:rFonts w:ascii="Times New Roman" w:hAnsi="Times New Roman" w:cs="Times New Roman"/>
          <w:sz w:val="24"/>
          <w:szCs w:val="24"/>
        </w:rPr>
        <w:t xml:space="preserve">Eko, Sutoro  &amp; Krisdyatmiko (eds), </w:t>
      </w:r>
      <w:r w:rsidRPr="003E2BD8">
        <w:rPr>
          <w:rFonts w:ascii="Times New Roman" w:hAnsi="Times New Roman" w:cs="Times New Roman"/>
          <w:i/>
          <w:sz w:val="24"/>
          <w:szCs w:val="24"/>
        </w:rPr>
        <w:t>Kaya Proyek Miskin Kebijakan: Membongkar Kegagalan Pembangunan Desa</w:t>
      </w:r>
      <w:r w:rsidRPr="003E2BD8">
        <w:rPr>
          <w:rFonts w:ascii="Times New Roman" w:hAnsi="Times New Roman" w:cs="Times New Roman"/>
          <w:sz w:val="24"/>
          <w:szCs w:val="24"/>
        </w:rPr>
        <w:t>, IRE dan Yayasan TIFA: Yogyakarta, 2006.</w:t>
      </w:r>
    </w:p>
    <w:p w:rsidR="001C12B1" w:rsidRPr="003E2BD8" w:rsidRDefault="001C12B1" w:rsidP="004C1C4D">
      <w:pPr>
        <w:spacing w:line="360" w:lineRule="auto"/>
        <w:ind w:left="1530" w:hanging="810"/>
        <w:rPr>
          <w:rFonts w:ascii="Times New Roman" w:hAnsi="Times New Roman" w:cs="Times New Roman"/>
          <w:sz w:val="24"/>
          <w:szCs w:val="24"/>
        </w:rPr>
      </w:pPr>
      <w:r>
        <w:rPr>
          <w:rFonts w:ascii="Times New Roman" w:hAnsi="Times New Roman" w:cs="Times New Roman"/>
          <w:sz w:val="24"/>
          <w:szCs w:val="24"/>
        </w:rPr>
        <w:t xml:space="preserve">Field, John, </w:t>
      </w:r>
      <w:r w:rsidRPr="001C12B1">
        <w:rPr>
          <w:rFonts w:ascii="Times New Roman" w:hAnsi="Times New Roman" w:cs="Times New Roman"/>
          <w:i/>
          <w:sz w:val="24"/>
          <w:szCs w:val="24"/>
        </w:rPr>
        <w:t>Modal Sosial,</w:t>
      </w:r>
      <w:r>
        <w:rPr>
          <w:rFonts w:ascii="Times New Roman" w:hAnsi="Times New Roman" w:cs="Times New Roman"/>
          <w:sz w:val="24"/>
          <w:szCs w:val="24"/>
        </w:rPr>
        <w:t xml:space="preserve"> Penerjemah, Nurhadi, Penerbit, Kreasi Wacana: Yogyakarta, 2011.</w:t>
      </w:r>
    </w:p>
    <w:p w:rsidR="004C1C4D" w:rsidRPr="003E2BD8" w:rsidRDefault="004C1C4D" w:rsidP="004C1C4D">
      <w:pPr>
        <w:spacing w:line="360" w:lineRule="auto"/>
        <w:ind w:left="1530" w:hanging="810"/>
        <w:rPr>
          <w:rFonts w:ascii="Times New Roman" w:hAnsi="Times New Roman" w:cs="Times New Roman"/>
          <w:sz w:val="24"/>
          <w:szCs w:val="24"/>
        </w:rPr>
      </w:pPr>
      <w:r w:rsidRPr="003E2BD8">
        <w:rPr>
          <w:rFonts w:ascii="Times New Roman" w:hAnsi="Times New Roman" w:cs="Times New Roman"/>
          <w:sz w:val="24"/>
          <w:szCs w:val="24"/>
        </w:rPr>
        <w:t xml:space="preserve">Green, Garry Paul dan Anna Haines, </w:t>
      </w:r>
      <w:r w:rsidRPr="003E2BD8">
        <w:rPr>
          <w:rFonts w:ascii="Times New Roman" w:hAnsi="Times New Roman" w:cs="Times New Roman"/>
          <w:i/>
          <w:sz w:val="24"/>
          <w:szCs w:val="24"/>
        </w:rPr>
        <w:t xml:space="preserve">Asset Building Community </w:t>
      </w:r>
      <w:r>
        <w:rPr>
          <w:rFonts w:ascii="Times New Roman" w:hAnsi="Times New Roman" w:cs="Times New Roman"/>
          <w:i/>
          <w:sz w:val="24"/>
          <w:szCs w:val="24"/>
        </w:rPr>
        <w:t>D</w:t>
      </w:r>
      <w:r w:rsidRPr="003E2BD8">
        <w:rPr>
          <w:rFonts w:ascii="Times New Roman" w:hAnsi="Times New Roman" w:cs="Times New Roman"/>
          <w:i/>
          <w:sz w:val="24"/>
          <w:szCs w:val="24"/>
        </w:rPr>
        <w:t>evelopment</w:t>
      </w:r>
      <w:r w:rsidRPr="003E2BD8">
        <w:rPr>
          <w:rFonts w:ascii="Times New Roman" w:hAnsi="Times New Roman" w:cs="Times New Roman"/>
          <w:sz w:val="24"/>
          <w:szCs w:val="24"/>
        </w:rPr>
        <w:t>, SAGE Publication, USA, 2012.</w:t>
      </w:r>
    </w:p>
    <w:p w:rsidR="00533B21" w:rsidRDefault="004C1C4D" w:rsidP="004C1C4D">
      <w:pPr>
        <w:spacing w:line="360" w:lineRule="auto"/>
        <w:ind w:left="1530" w:hanging="810"/>
        <w:rPr>
          <w:rFonts w:ascii="Times New Roman" w:hAnsi="Times New Roman" w:cs="Times New Roman"/>
          <w:sz w:val="24"/>
          <w:szCs w:val="24"/>
        </w:rPr>
      </w:pPr>
      <w:r w:rsidRPr="003E2BD8">
        <w:rPr>
          <w:rFonts w:ascii="Times New Roman" w:hAnsi="Times New Roman" w:cs="Times New Roman"/>
          <w:sz w:val="24"/>
          <w:szCs w:val="24"/>
        </w:rPr>
        <w:t xml:space="preserve">Hadi, Farid, “ Membangun Berbasis Aset: Upaya Membangkitkan Warga yang Berdaya dan Aktif Membangun Kemandiriannya, </w:t>
      </w:r>
      <w:r w:rsidRPr="003E2BD8">
        <w:rPr>
          <w:rFonts w:ascii="Times New Roman" w:hAnsi="Times New Roman" w:cs="Times New Roman"/>
          <w:sz w:val="24"/>
          <w:szCs w:val="24"/>
        </w:rPr>
        <w:lastRenderedPageBreak/>
        <w:t xml:space="preserve">dalam </w:t>
      </w:r>
      <w:r w:rsidRPr="003E2BD8">
        <w:rPr>
          <w:rFonts w:ascii="Times New Roman" w:hAnsi="Times New Roman" w:cs="Times New Roman"/>
          <w:i/>
          <w:sz w:val="24"/>
          <w:szCs w:val="24"/>
        </w:rPr>
        <w:t>Jurnal Mandatory</w:t>
      </w:r>
      <w:r w:rsidRPr="003E2BD8">
        <w:rPr>
          <w:rFonts w:ascii="Times New Roman" w:hAnsi="Times New Roman" w:cs="Times New Roman"/>
          <w:sz w:val="24"/>
          <w:szCs w:val="24"/>
        </w:rPr>
        <w:t xml:space="preserve">, Penerbit IRE Yogyakarta, Volume 10, Nomor 1, 2013. </w:t>
      </w:r>
    </w:p>
    <w:p w:rsidR="00533B21" w:rsidRDefault="004C1C4D" w:rsidP="00533B21">
      <w:pPr>
        <w:pStyle w:val="FootnoteText"/>
        <w:ind w:left="1440" w:hanging="720"/>
        <w:rPr>
          <w:rFonts w:ascii="Times New Roman" w:hAnsi="Times New Roman" w:cs="Times New Roman"/>
        </w:rPr>
      </w:pPr>
      <w:r w:rsidRPr="003E2BD8">
        <w:rPr>
          <w:rFonts w:ascii="Times New Roman" w:hAnsi="Times New Roman" w:cs="Times New Roman"/>
          <w:sz w:val="24"/>
          <w:szCs w:val="24"/>
        </w:rPr>
        <w:t xml:space="preserve">Koentjaraningrat, </w:t>
      </w:r>
      <w:r w:rsidRPr="003E2BD8">
        <w:rPr>
          <w:rFonts w:ascii="Times New Roman" w:hAnsi="Times New Roman" w:cs="Times New Roman"/>
          <w:i/>
          <w:sz w:val="24"/>
          <w:szCs w:val="24"/>
        </w:rPr>
        <w:t>Metode-Metode Penelitian Masyarakat,</w:t>
      </w:r>
      <w:r w:rsidRPr="003E2BD8">
        <w:rPr>
          <w:rFonts w:ascii="Times New Roman" w:hAnsi="Times New Roman" w:cs="Times New Roman"/>
          <w:sz w:val="24"/>
          <w:szCs w:val="24"/>
        </w:rPr>
        <w:t xml:space="preserve"> Gramedia: Jakarata, 1991.</w:t>
      </w:r>
      <w:r w:rsidR="00533B21" w:rsidRPr="00533B21">
        <w:rPr>
          <w:rFonts w:ascii="Times New Roman" w:hAnsi="Times New Roman" w:cs="Times New Roman"/>
        </w:rPr>
        <w:t xml:space="preserve"> </w:t>
      </w:r>
    </w:p>
    <w:p w:rsidR="001C12B1" w:rsidRDefault="001C12B1" w:rsidP="00533B21">
      <w:pPr>
        <w:pStyle w:val="FootnoteText"/>
        <w:ind w:left="1440" w:hanging="720"/>
        <w:rPr>
          <w:rFonts w:ascii="Times New Roman" w:hAnsi="Times New Roman" w:cs="Times New Roman"/>
        </w:rPr>
      </w:pPr>
    </w:p>
    <w:p w:rsidR="00533B21" w:rsidRDefault="00533B21" w:rsidP="00533B21">
      <w:pPr>
        <w:pStyle w:val="FootnoteText"/>
        <w:ind w:left="1530" w:hanging="810"/>
        <w:rPr>
          <w:rFonts w:ascii="Times New Roman" w:hAnsi="Times New Roman" w:cs="Times New Roman"/>
          <w:sz w:val="24"/>
          <w:szCs w:val="24"/>
        </w:rPr>
      </w:pPr>
      <w:r w:rsidRPr="00533B21">
        <w:rPr>
          <w:rFonts w:ascii="Times New Roman" w:hAnsi="Times New Roman" w:cs="Times New Roman"/>
          <w:sz w:val="24"/>
          <w:szCs w:val="24"/>
        </w:rPr>
        <w:t xml:space="preserve">Reid, Norman, “Community Empowerment: A New Approach for Rural Development”, </w:t>
      </w:r>
      <w:r w:rsidRPr="00533B21">
        <w:rPr>
          <w:rFonts w:ascii="Times New Roman" w:hAnsi="Times New Roman" w:cs="Times New Roman"/>
          <w:i/>
          <w:sz w:val="24"/>
          <w:szCs w:val="24"/>
        </w:rPr>
        <w:t>Rural Development Perspectives</w:t>
      </w:r>
      <w:r w:rsidRPr="00533B21">
        <w:rPr>
          <w:rFonts w:ascii="Times New Roman" w:hAnsi="Times New Roman" w:cs="Times New Roman"/>
          <w:sz w:val="24"/>
          <w:szCs w:val="24"/>
        </w:rPr>
        <w:t xml:space="preserve">, Vol.14,No.1. </w:t>
      </w:r>
    </w:p>
    <w:p w:rsidR="001C12B1" w:rsidRPr="00533B21" w:rsidRDefault="001C12B1" w:rsidP="00533B21">
      <w:pPr>
        <w:pStyle w:val="FootnoteText"/>
        <w:ind w:left="1530" w:hanging="810"/>
        <w:rPr>
          <w:rFonts w:ascii="Times New Roman" w:hAnsi="Times New Roman" w:cs="Times New Roman"/>
          <w:sz w:val="24"/>
          <w:szCs w:val="24"/>
        </w:rPr>
      </w:pPr>
    </w:p>
    <w:p w:rsidR="004C1C4D" w:rsidRPr="003E2BD8" w:rsidRDefault="004C1C4D" w:rsidP="004C1C4D">
      <w:pPr>
        <w:spacing w:line="360" w:lineRule="auto"/>
        <w:ind w:left="1530" w:hanging="810"/>
        <w:rPr>
          <w:rFonts w:ascii="Times New Roman" w:hAnsi="Times New Roman" w:cs="Times New Roman"/>
          <w:sz w:val="24"/>
          <w:szCs w:val="24"/>
        </w:rPr>
      </w:pPr>
      <w:r w:rsidRPr="003E2BD8">
        <w:rPr>
          <w:rFonts w:ascii="Times New Roman" w:hAnsi="Times New Roman" w:cs="Times New Roman"/>
          <w:sz w:val="24"/>
          <w:szCs w:val="24"/>
        </w:rPr>
        <w:t xml:space="preserve">Uhoff,  Norman, </w:t>
      </w:r>
      <w:r w:rsidRPr="003E2BD8">
        <w:rPr>
          <w:rFonts w:ascii="Times New Roman" w:hAnsi="Times New Roman" w:cs="Times New Roman"/>
          <w:i/>
          <w:sz w:val="24"/>
          <w:szCs w:val="24"/>
        </w:rPr>
        <w:t>Local Institution Develeopment: An Analytical Sourcebook</w:t>
      </w:r>
      <w:r w:rsidRPr="003E2BD8">
        <w:rPr>
          <w:rFonts w:ascii="Times New Roman" w:hAnsi="Times New Roman" w:cs="Times New Roman"/>
          <w:sz w:val="24"/>
          <w:szCs w:val="24"/>
        </w:rPr>
        <w:t>, With Cases, West Hartford: Kumarian Press, 1986.</w:t>
      </w:r>
    </w:p>
    <w:p w:rsidR="004C1C4D" w:rsidRPr="003E2BD8" w:rsidRDefault="004C1C4D" w:rsidP="004C1C4D">
      <w:pPr>
        <w:pStyle w:val="FootnoteText"/>
        <w:spacing w:line="360" w:lineRule="auto"/>
        <w:ind w:left="1530" w:hanging="810"/>
        <w:rPr>
          <w:rFonts w:ascii="Times New Roman" w:hAnsi="Times New Roman" w:cs="Times New Roman"/>
          <w:sz w:val="24"/>
          <w:szCs w:val="24"/>
        </w:rPr>
      </w:pPr>
      <w:r w:rsidRPr="003E2BD8">
        <w:rPr>
          <w:rFonts w:ascii="Times New Roman" w:hAnsi="Times New Roman" w:cs="Times New Roman"/>
          <w:sz w:val="24"/>
          <w:szCs w:val="24"/>
        </w:rPr>
        <w:t xml:space="preserve"> Walter, Magie, </w:t>
      </w:r>
      <w:r w:rsidRPr="003E2BD8">
        <w:rPr>
          <w:rFonts w:ascii="Times New Roman" w:hAnsi="Times New Roman" w:cs="Times New Roman"/>
          <w:i/>
          <w:sz w:val="24"/>
          <w:szCs w:val="24"/>
        </w:rPr>
        <w:t>Social Research Methods</w:t>
      </w:r>
      <w:r w:rsidRPr="003E2BD8">
        <w:rPr>
          <w:rFonts w:ascii="Times New Roman" w:hAnsi="Times New Roman" w:cs="Times New Roman"/>
          <w:sz w:val="24"/>
          <w:szCs w:val="24"/>
        </w:rPr>
        <w:t>, Oxford University Press: Australia &amp; New Zealand, 2010.</w:t>
      </w:r>
    </w:p>
    <w:p w:rsidR="004C1C4D" w:rsidRPr="003E2BD8" w:rsidRDefault="004C1C4D" w:rsidP="004C1C4D">
      <w:pPr>
        <w:spacing w:line="360" w:lineRule="auto"/>
        <w:ind w:left="720"/>
        <w:rPr>
          <w:sz w:val="24"/>
          <w:szCs w:val="24"/>
        </w:rPr>
      </w:pPr>
    </w:p>
    <w:p w:rsidR="004C1C4D" w:rsidRDefault="004C1C4D" w:rsidP="004C1C4D">
      <w:pPr>
        <w:pStyle w:val="ListParagraph"/>
        <w:spacing w:after="0" w:line="360" w:lineRule="auto"/>
        <w:rPr>
          <w:rFonts w:ascii="Times New Roman" w:hAnsi="Times New Roman" w:cs="Times New Roman"/>
          <w:sz w:val="24"/>
          <w:szCs w:val="24"/>
        </w:rPr>
      </w:pPr>
    </w:p>
    <w:p w:rsidR="004C1C4D" w:rsidRDefault="004C1C4D" w:rsidP="004C1C4D">
      <w:pPr>
        <w:pStyle w:val="ListParagraph"/>
        <w:spacing w:after="0" w:line="360" w:lineRule="auto"/>
        <w:rPr>
          <w:rFonts w:ascii="Times New Roman" w:hAnsi="Times New Roman" w:cs="Times New Roman"/>
          <w:sz w:val="24"/>
          <w:szCs w:val="24"/>
        </w:rPr>
      </w:pPr>
    </w:p>
    <w:p w:rsidR="004C1C4D" w:rsidRDefault="004C1C4D" w:rsidP="004C1C4D">
      <w:pPr>
        <w:pStyle w:val="ListParagraph"/>
        <w:spacing w:after="0" w:line="360" w:lineRule="auto"/>
        <w:rPr>
          <w:rFonts w:ascii="Times New Roman" w:hAnsi="Times New Roman" w:cs="Times New Roman"/>
          <w:sz w:val="24"/>
          <w:szCs w:val="24"/>
        </w:rPr>
      </w:pPr>
    </w:p>
    <w:p w:rsidR="004C1C4D" w:rsidRDefault="004C1C4D" w:rsidP="004C1C4D">
      <w:pPr>
        <w:pStyle w:val="ListParagraph"/>
        <w:spacing w:after="0" w:line="360" w:lineRule="auto"/>
        <w:rPr>
          <w:rFonts w:ascii="Times New Roman" w:hAnsi="Times New Roman" w:cs="Times New Roman"/>
          <w:sz w:val="24"/>
          <w:szCs w:val="24"/>
        </w:rPr>
      </w:pPr>
    </w:p>
    <w:p w:rsidR="004C1C4D" w:rsidRDefault="004C1C4D" w:rsidP="004C1C4D">
      <w:pPr>
        <w:jc w:val="both"/>
        <w:rPr>
          <w:rFonts w:ascii="Times New Roman" w:hAnsi="Times New Roman" w:cs="Times New Roman"/>
          <w:sz w:val="24"/>
          <w:szCs w:val="24"/>
        </w:rPr>
      </w:pPr>
    </w:p>
    <w:p w:rsidR="004C1C4D" w:rsidRDefault="004C1C4D" w:rsidP="004C1C4D">
      <w:pPr>
        <w:jc w:val="both"/>
        <w:rPr>
          <w:rFonts w:ascii="Times New Roman" w:hAnsi="Times New Roman" w:cs="Times New Roman"/>
          <w:sz w:val="24"/>
          <w:szCs w:val="24"/>
        </w:rPr>
      </w:pPr>
    </w:p>
    <w:p w:rsidR="004C1C4D" w:rsidRPr="004C1C4D" w:rsidRDefault="004C1C4D" w:rsidP="004C1C4D">
      <w:pPr>
        <w:jc w:val="both"/>
        <w:rPr>
          <w:rFonts w:ascii="Times New Roman" w:hAnsi="Times New Roman" w:cs="Times New Roman"/>
          <w:sz w:val="24"/>
          <w:szCs w:val="24"/>
        </w:rPr>
      </w:pPr>
    </w:p>
    <w:sectPr w:rsidR="004C1C4D" w:rsidRPr="004C1C4D" w:rsidSect="008C22FB">
      <w:footerReference w:type="default" r:id="rId7"/>
      <w:pgSz w:w="12240" w:h="15840"/>
      <w:pgMar w:top="2448" w:right="2160" w:bottom="2160" w:left="2448" w:header="720" w:footer="1191" w:gutter="0"/>
      <w:pgNumType w:start="6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FFA" w:rsidRDefault="00294FFA" w:rsidP="008C22FB">
      <w:pPr>
        <w:spacing w:after="0" w:line="240" w:lineRule="auto"/>
      </w:pPr>
      <w:r>
        <w:separator/>
      </w:r>
    </w:p>
  </w:endnote>
  <w:endnote w:type="continuationSeparator" w:id="1">
    <w:p w:rsidR="00294FFA" w:rsidRDefault="00294FFA" w:rsidP="008C2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79089"/>
      <w:docPartObj>
        <w:docPartGallery w:val="Page Numbers (Bottom of Page)"/>
        <w:docPartUnique/>
      </w:docPartObj>
    </w:sdtPr>
    <w:sdtContent>
      <w:p w:rsidR="00294FFA" w:rsidRDefault="00294FFA">
        <w:pPr>
          <w:pStyle w:val="Footer"/>
          <w:jc w:val="center"/>
        </w:pPr>
        <w:fldSimple w:instr=" PAGE   \* MERGEFORMAT ">
          <w:r w:rsidR="00DB253F">
            <w:rPr>
              <w:noProof/>
            </w:rPr>
            <w:t>70</w:t>
          </w:r>
        </w:fldSimple>
      </w:p>
    </w:sdtContent>
  </w:sdt>
  <w:p w:rsidR="00294FFA" w:rsidRDefault="00294F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FFA" w:rsidRDefault="00294FFA" w:rsidP="008C22FB">
      <w:pPr>
        <w:spacing w:after="0" w:line="240" w:lineRule="auto"/>
      </w:pPr>
      <w:r>
        <w:separator/>
      </w:r>
    </w:p>
  </w:footnote>
  <w:footnote w:type="continuationSeparator" w:id="1">
    <w:p w:rsidR="00294FFA" w:rsidRDefault="00294FFA" w:rsidP="008C22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EEC"/>
    <w:multiLevelType w:val="hybridMultilevel"/>
    <w:tmpl w:val="64EC3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05CE7"/>
    <w:multiLevelType w:val="hybridMultilevel"/>
    <w:tmpl w:val="8F844A62"/>
    <w:lvl w:ilvl="0" w:tplc="F8B86F3A">
      <w:start w:val="1"/>
      <w:numFmt w:val="bullet"/>
      <w:lvlText w:val=""/>
      <w:lvlJc w:val="left"/>
      <w:pPr>
        <w:tabs>
          <w:tab w:val="num" w:pos="720"/>
        </w:tabs>
        <w:ind w:left="720" w:hanging="360"/>
      </w:pPr>
      <w:rPr>
        <w:rFonts w:ascii="Wingdings" w:hAnsi="Wingdings" w:hint="default"/>
      </w:rPr>
    </w:lvl>
    <w:lvl w:ilvl="1" w:tplc="883AA7D6" w:tentative="1">
      <w:start w:val="1"/>
      <w:numFmt w:val="bullet"/>
      <w:lvlText w:val=""/>
      <w:lvlJc w:val="left"/>
      <w:pPr>
        <w:tabs>
          <w:tab w:val="num" w:pos="1440"/>
        </w:tabs>
        <w:ind w:left="1440" w:hanging="360"/>
      </w:pPr>
      <w:rPr>
        <w:rFonts w:ascii="Wingdings" w:hAnsi="Wingdings" w:hint="default"/>
      </w:rPr>
    </w:lvl>
    <w:lvl w:ilvl="2" w:tplc="4ED49226" w:tentative="1">
      <w:start w:val="1"/>
      <w:numFmt w:val="bullet"/>
      <w:lvlText w:val=""/>
      <w:lvlJc w:val="left"/>
      <w:pPr>
        <w:tabs>
          <w:tab w:val="num" w:pos="2160"/>
        </w:tabs>
        <w:ind w:left="2160" w:hanging="360"/>
      </w:pPr>
      <w:rPr>
        <w:rFonts w:ascii="Wingdings" w:hAnsi="Wingdings" w:hint="default"/>
      </w:rPr>
    </w:lvl>
    <w:lvl w:ilvl="3" w:tplc="410021A0" w:tentative="1">
      <w:start w:val="1"/>
      <w:numFmt w:val="bullet"/>
      <w:lvlText w:val=""/>
      <w:lvlJc w:val="left"/>
      <w:pPr>
        <w:tabs>
          <w:tab w:val="num" w:pos="2880"/>
        </w:tabs>
        <w:ind w:left="2880" w:hanging="360"/>
      </w:pPr>
      <w:rPr>
        <w:rFonts w:ascii="Wingdings" w:hAnsi="Wingdings" w:hint="default"/>
      </w:rPr>
    </w:lvl>
    <w:lvl w:ilvl="4" w:tplc="4998D84A" w:tentative="1">
      <w:start w:val="1"/>
      <w:numFmt w:val="bullet"/>
      <w:lvlText w:val=""/>
      <w:lvlJc w:val="left"/>
      <w:pPr>
        <w:tabs>
          <w:tab w:val="num" w:pos="3600"/>
        </w:tabs>
        <w:ind w:left="3600" w:hanging="360"/>
      </w:pPr>
      <w:rPr>
        <w:rFonts w:ascii="Wingdings" w:hAnsi="Wingdings" w:hint="default"/>
      </w:rPr>
    </w:lvl>
    <w:lvl w:ilvl="5" w:tplc="52223BC2" w:tentative="1">
      <w:start w:val="1"/>
      <w:numFmt w:val="bullet"/>
      <w:lvlText w:val=""/>
      <w:lvlJc w:val="left"/>
      <w:pPr>
        <w:tabs>
          <w:tab w:val="num" w:pos="4320"/>
        </w:tabs>
        <w:ind w:left="4320" w:hanging="360"/>
      </w:pPr>
      <w:rPr>
        <w:rFonts w:ascii="Wingdings" w:hAnsi="Wingdings" w:hint="default"/>
      </w:rPr>
    </w:lvl>
    <w:lvl w:ilvl="6" w:tplc="CBA4CCDA" w:tentative="1">
      <w:start w:val="1"/>
      <w:numFmt w:val="bullet"/>
      <w:lvlText w:val=""/>
      <w:lvlJc w:val="left"/>
      <w:pPr>
        <w:tabs>
          <w:tab w:val="num" w:pos="5040"/>
        </w:tabs>
        <w:ind w:left="5040" w:hanging="360"/>
      </w:pPr>
      <w:rPr>
        <w:rFonts w:ascii="Wingdings" w:hAnsi="Wingdings" w:hint="default"/>
      </w:rPr>
    </w:lvl>
    <w:lvl w:ilvl="7" w:tplc="3E603AE2" w:tentative="1">
      <w:start w:val="1"/>
      <w:numFmt w:val="bullet"/>
      <w:lvlText w:val=""/>
      <w:lvlJc w:val="left"/>
      <w:pPr>
        <w:tabs>
          <w:tab w:val="num" w:pos="5760"/>
        </w:tabs>
        <w:ind w:left="5760" w:hanging="360"/>
      </w:pPr>
      <w:rPr>
        <w:rFonts w:ascii="Wingdings" w:hAnsi="Wingdings" w:hint="default"/>
      </w:rPr>
    </w:lvl>
    <w:lvl w:ilvl="8" w:tplc="3EAE0D38" w:tentative="1">
      <w:start w:val="1"/>
      <w:numFmt w:val="bullet"/>
      <w:lvlText w:val=""/>
      <w:lvlJc w:val="left"/>
      <w:pPr>
        <w:tabs>
          <w:tab w:val="num" w:pos="6480"/>
        </w:tabs>
        <w:ind w:left="6480" w:hanging="360"/>
      </w:pPr>
      <w:rPr>
        <w:rFonts w:ascii="Wingdings" w:hAnsi="Wingdings" w:hint="default"/>
      </w:rPr>
    </w:lvl>
  </w:abstractNum>
  <w:abstractNum w:abstractNumId="2">
    <w:nsid w:val="41BE54A2"/>
    <w:multiLevelType w:val="hybridMultilevel"/>
    <w:tmpl w:val="83806656"/>
    <w:lvl w:ilvl="0" w:tplc="4A5870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EF161D"/>
    <w:multiLevelType w:val="hybridMultilevel"/>
    <w:tmpl w:val="28825928"/>
    <w:lvl w:ilvl="0" w:tplc="C8064ADE">
      <w:start w:val="1"/>
      <w:numFmt w:val="bullet"/>
      <w:lvlText w:val=""/>
      <w:lvlJc w:val="left"/>
      <w:pPr>
        <w:tabs>
          <w:tab w:val="num" w:pos="720"/>
        </w:tabs>
        <w:ind w:left="720" w:hanging="360"/>
      </w:pPr>
      <w:rPr>
        <w:rFonts w:ascii="Wingdings" w:hAnsi="Wingdings" w:hint="default"/>
      </w:rPr>
    </w:lvl>
    <w:lvl w:ilvl="1" w:tplc="8F82DDD6" w:tentative="1">
      <w:start w:val="1"/>
      <w:numFmt w:val="bullet"/>
      <w:lvlText w:val=""/>
      <w:lvlJc w:val="left"/>
      <w:pPr>
        <w:tabs>
          <w:tab w:val="num" w:pos="1440"/>
        </w:tabs>
        <w:ind w:left="1440" w:hanging="360"/>
      </w:pPr>
      <w:rPr>
        <w:rFonts w:ascii="Wingdings" w:hAnsi="Wingdings" w:hint="default"/>
      </w:rPr>
    </w:lvl>
    <w:lvl w:ilvl="2" w:tplc="E9422486" w:tentative="1">
      <w:start w:val="1"/>
      <w:numFmt w:val="bullet"/>
      <w:lvlText w:val=""/>
      <w:lvlJc w:val="left"/>
      <w:pPr>
        <w:tabs>
          <w:tab w:val="num" w:pos="2160"/>
        </w:tabs>
        <w:ind w:left="2160" w:hanging="360"/>
      </w:pPr>
      <w:rPr>
        <w:rFonts w:ascii="Wingdings" w:hAnsi="Wingdings" w:hint="default"/>
      </w:rPr>
    </w:lvl>
    <w:lvl w:ilvl="3" w:tplc="8E18B180" w:tentative="1">
      <w:start w:val="1"/>
      <w:numFmt w:val="bullet"/>
      <w:lvlText w:val=""/>
      <w:lvlJc w:val="left"/>
      <w:pPr>
        <w:tabs>
          <w:tab w:val="num" w:pos="2880"/>
        </w:tabs>
        <w:ind w:left="2880" w:hanging="360"/>
      </w:pPr>
      <w:rPr>
        <w:rFonts w:ascii="Wingdings" w:hAnsi="Wingdings" w:hint="default"/>
      </w:rPr>
    </w:lvl>
    <w:lvl w:ilvl="4" w:tplc="1248AA64" w:tentative="1">
      <w:start w:val="1"/>
      <w:numFmt w:val="bullet"/>
      <w:lvlText w:val=""/>
      <w:lvlJc w:val="left"/>
      <w:pPr>
        <w:tabs>
          <w:tab w:val="num" w:pos="3600"/>
        </w:tabs>
        <w:ind w:left="3600" w:hanging="360"/>
      </w:pPr>
      <w:rPr>
        <w:rFonts w:ascii="Wingdings" w:hAnsi="Wingdings" w:hint="default"/>
      </w:rPr>
    </w:lvl>
    <w:lvl w:ilvl="5" w:tplc="6382CC68" w:tentative="1">
      <w:start w:val="1"/>
      <w:numFmt w:val="bullet"/>
      <w:lvlText w:val=""/>
      <w:lvlJc w:val="left"/>
      <w:pPr>
        <w:tabs>
          <w:tab w:val="num" w:pos="4320"/>
        </w:tabs>
        <w:ind w:left="4320" w:hanging="360"/>
      </w:pPr>
      <w:rPr>
        <w:rFonts w:ascii="Wingdings" w:hAnsi="Wingdings" w:hint="default"/>
      </w:rPr>
    </w:lvl>
    <w:lvl w:ilvl="6" w:tplc="3C40F4E8" w:tentative="1">
      <w:start w:val="1"/>
      <w:numFmt w:val="bullet"/>
      <w:lvlText w:val=""/>
      <w:lvlJc w:val="left"/>
      <w:pPr>
        <w:tabs>
          <w:tab w:val="num" w:pos="5040"/>
        </w:tabs>
        <w:ind w:left="5040" w:hanging="360"/>
      </w:pPr>
      <w:rPr>
        <w:rFonts w:ascii="Wingdings" w:hAnsi="Wingdings" w:hint="default"/>
      </w:rPr>
    </w:lvl>
    <w:lvl w:ilvl="7" w:tplc="26EC8672" w:tentative="1">
      <w:start w:val="1"/>
      <w:numFmt w:val="bullet"/>
      <w:lvlText w:val=""/>
      <w:lvlJc w:val="left"/>
      <w:pPr>
        <w:tabs>
          <w:tab w:val="num" w:pos="5760"/>
        </w:tabs>
        <w:ind w:left="5760" w:hanging="360"/>
      </w:pPr>
      <w:rPr>
        <w:rFonts w:ascii="Wingdings" w:hAnsi="Wingdings" w:hint="default"/>
      </w:rPr>
    </w:lvl>
    <w:lvl w:ilvl="8" w:tplc="25327AE4" w:tentative="1">
      <w:start w:val="1"/>
      <w:numFmt w:val="bullet"/>
      <w:lvlText w:val=""/>
      <w:lvlJc w:val="left"/>
      <w:pPr>
        <w:tabs>
          <w:tab w:val="num" w:pos="6480"/>
        </w:tabs>
        <w:ind w:left="6480" w:hanging="360"/>
      </w:pPr>
      <w:rPr>
        <w:rFonts w:ascii="Wingdings" w:hAnsi="Wingdings" w:hint="default"/>
      </w:rPr>
    </w:lvl>
  </w:abstractNum>
  <w:abstractNum w:abstractNumId="4">
    <w:nsid w:val="6FD75F9E"/>
    <w:multiLevelType w:val="hybridMultilevel"/>
    <w:tmpl w:val="D7F2D8F6"/>
    <w:lvl w:ilvl="0" w:tplc="3E8E5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4EA6"/>
    <w:rsid w:val="00014B65"/>
    <w:rsid w:val="0008620E"/>
    <w:rsid w:val="000A30C4"/>
    <w:rsid w:val="00192871"/>
    <w:rsid w:val="001A1920"/>
    <w:rsid w:val="001C12B1"/>
    <w:rsid w:val="00294FFA"/>
    <w:rsid w:val="00304C73"/>
    <w:rsid w:val="004C1C4D"/>
    <w:rsid w:val="00533B21"/>
    <w:rsid w:val="005E083D"/>
    <w:rsid w:val="005E5348"/>
    <w:rsid w:val="0078074C"/>
    <w:rsid w:val="007C4EA6"/>
    <w:rsid w:val="008032FF"/>
    <w:rsid w:val="008C22FB"/>
    <w:rsid w:val="009F34F4"/>
    <w:rsid w:val="00A4358D"/>
    <w:rsid w:val="00AA6B21"/>
    <w:rsid w:val="00C806A6"/>
    <w:rsid w:val="00D02775"/>
    <w:rsid w:val="00D064BD"/>
    <w:rsid w:val="00DB2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0C4"/>
    <w:pPr>
      <w:ind w:left="720"/>
      <w:contextualSpacing/>
    </w:pPr>
  </w:style>
  <w:style w:type="paragraph" w:styleId="FootnoteText">
    <w:name w:val="footnote text"/>
    <w:basedOn w:val="Normal"/>
    <w:link w:val="FootnoteTextChar"/>
    <w:uiPriority w:val="99"/>
    <w:semiHidden/>
    <w:unhideWhenUsed/>
    <w:rsid w:val="004C1C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C4D"/>
    <w:rPr>
      <w:sz w:val="20"/>
      <w:szCs w:val="20"/>
    </w:rPr>
  </w:style>
  <w:style w:type="paragraph" w:styleId="Header">
    <w:name w:val="header"/>
    <w:basedOn w:val="Normal"/>
    <w:link w:val="HeaderChar"/>
    <w:uiPriority w:val="99"/>
    <w:semiHidden/>
    <w:unhideWhenUsed/>
    <w:rsid w:val="008C22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22FB"/>
  </w:style>
  <w:style w:type="paragraph" w:styleId="Footer">
    <w:name w:val="footer"/>
    <w:basedOn w:val="Normal"/>
    <w:link w:val="FooterChar"/>
    <w:uiPriority w:val="99"/>
    <w:unhideWhenUsed/>
    <w:rsid w:val="008C2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2FB"/>
  </w:style>
</w:styles>
</file>

<file path=word/webSettings.xml><?xml version="1.0" encoding="utf-8"?>
<w:webSettings xmlns:r="http://schemas.openxmlformats.org/officeDocument/2006/relationships" xmlns:w="http://schemas.openxmlformats.org/wordprocessingml/2006/main">
  <w:divs>
    <w:div w:id="901871273">
      <w:bodyDiv w:val="1"/>
      <w:marLeft w:val="0"/>
      <w:marRight w:val="0"/>
      <w:marTop w:val="0"/>
      <w:marBottom w:val="0"/>
      <w:divBdr>
        <w:top w:val="none" w:sz="0" w:space="0" w:color="auto"/>
        <w:left w:val="none" w:sz="0" w:space="0" w:color="auto"/>
        <w:bottom w:val="none" w:sz="0" w:space="0" w:color="auto"/>
        <w:right w:val="none" w:sz="0" w:space="0" w:color="auto"/>
      </w:divBdr>
      <w:divsChild>
        <w:div w:id="894242431">
          <w:marLeft w:val="504"/>
          <w:marRight w:val="0"/>
          <w:marTop w:val="140"/>
          <w:marBottom w:val="0"/>
          <w:divBdr>
            <w:top w:val="none" w:sz="0" w:space="0" w:color="auto"/>
            <w:left w:val="none" w:sz="0" w:space="0" w:color="auto"/>
            <w:bottom w:val="none" w:sz="0" w:space="0" w:color="auto"/>
            <w:right w:val="none" w:sz="0" w:space="0" w:color="auto"/>
          </w:divBdr>
        </w:div>
        <w:div w:id="519851610">
          <w:marLeft w:val="504"/>
          <w:marRight w:val="0"/>
          <w:marTop w:val="140"/>
          <w:marBottom w:val="0"/>
          <w:divBdr>
            <w:top w:val="none" w:sz="0" w:space="0" w:color="auto"/>
            <w:left w:val="none" w:sz="0" w:space="0" w:color="auto"/>
            <w:bottom w:val="none" w:sz="0" w:space="0" w:color="auto"/>
            <w:right w:val="none" w:sz="0" w:space="0" w:color="auto"/>
          </w:divBdr>
        </w:div>
        <w:div w:id="2018536604">
          <w:marLeft w:val="504"/>
          <w:marRight w:val="0"/>
          <w:marTop w:val="140"/>
          <w:marBottom w:val="0"/>
          <w:divBdr>
            <w:top w:val="none" w:sz="0" w:space="0" w:color="auto"/>
            <w:left w:val="none" w:sz="0" w:space="0" w:color="auto"/>
            <w:bottom w:val="none" w:sz="0" w:space="0" w:color="auto"/>
            <w:right w:val="none" w:sz="0" w:space="0" w:color="auto"/>
          </w:divBdr>
        </w:div>
      </w:divsChild>
    </w:div>
    <w:div w:id="1194877455">
      <w:bodyDiv w:val="1"/>
      <w:marLeft w:val="0"/>
      <w:marRight w:val="0"/>
      <w:marTop w:val="0"/>
      <w:marBottom w:val="0"/>
      <w:divBdr>
        <w:top w:val="none" w:sz="0" w:space="0" w:color="auto"/>
        <w:left w:val="none" w:sz="0" w:space="0" w:color="auto"/>
        <w:bottom w:val="none" w:sz="0" w:space="0" w:color="auto"/>
        <w:right w:val="none" w:sz="0" w:space="0" w:color="auto"/>
      </w:divBdr>
      <w:divsChild>
        <w:div w:id="199761112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Rozaki</dc:creator>
  <cp:lastModifiedBy>hp pc</cp:lastModifiedBy>
  <cp:revision>16</cp:revision>
  <dcterms:created xsi:type="dcterms:W3CDTF">2013-12-10T15:11:00Z</dcterms:created>
  <dcterms:modified xsi:type="dcterms:W3CDTF">2013-12-11T01:57:00Z</dcterms:modified>
</cp:coreProperties>
</file>