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2E" w:rsidRDefault="0046032E" w:rsidP="0046032E">
      <w:pPr>
        <w:pStyle w:val="NoSpacing"/>
        <w:jc w:val="center"/>
        <w:rPr>
          <w:rFonts w:ascii="Times New Roman" w:hAnsi="Times New Roman"/>
          <w:b/>
          <w:sz w:val="32"/>
          <w:szCs w:val="32"/>
          <w:lang w:val="en-US"/>
        </w:rPr>
      </w:pPr>
    </w:p>
    <w:p w:rsidR="0046032E" w:rsidRPr="0036257B" w:rsidRDefault="000726FA" w:rsidP="0046032E">
      <w:pPr>
        <w:pStyle w:val="NoSpacing"/>
        <w:jc w:val="center"/>
        <w:rPr>
          <w:rFonts w:ascii="Times New Roman" w:hAnsi="Times New Roman"/>
          <w:b/>
          <w:sz w:val="32"/>
          <w:szCs w:val="32"/>
          <w:lang w:val="en-US"/>
        </w:rPr>
      </w:pPr>
      <w:r>
        <w:rPr>
          <w:rFonts w:ascii="Times New Roman" w:hAnsi="Times New Roman"/>
          <w:b/>
          <w:sz w:val="32"/>
          <w:szCs w:val="32"/>
          <w:lang w:val="en-US"/>
        </w:rPr>
        <w:t>RINGKASAN LAPORAN PENELITIAN</w:t>
      </w:r>
    </w:p>
    <w:p w:rsidR="0046032E" w:rsidRPr="007856F2" w:rsidRDefault="0046032E" w:rsidP="0046032E">
      <w:pPr>
        <w:pStyle w:val="NoSpacing"/>
        <w:jc w:val="center"/>
        <w:rPr>
          <w:rFonts w:ascii="Times New Roman" w:hAnsi="Times New Roman"/>
          <w:b/>
          <w:sz w:val="32"/>
          <w:szCs w:val="32"/>
          <w:lang w:val="en-US"/>
        </w:rPr>
      </w:pPr>
    </w:p>
    <w:p w:rsidR="0046032E" w:rsidRPr="007856F2" w:rsidRDefault="0046032E" w:rsidP="0046032E">
      <w:pPr>
        <w:pStyle w:val="NoSpacing"/>
        <w:jc w:val="center"/>
        <w:rPr>
          <w:rFonts w:ascii="Times New Roman" w:hAnsi="Times New Roman"/>
          <w:sz w:val="24"/>
          <w:szCs w:val="24"/>
          <w:lang w:val="en-US"/>
        </w:rPr>
      </w:pPr>
    </w:p>
    <w:p w:rsidR="0036257B" w:rsidRPr="0036257B" w:rsidRDefault="0036257B" w:rsidP="0036257B">
      <w:pPr>
        <w:pStyle w:val="NoSpacing"/>
        <w:spacing w:line="276" w:lineRule="auto"/>
        <w:jc w:val="center"/>
        <w:rPr>
          <w:rFonts w:ascii="Times New Roman" w:hAnsi="Times New Roman"/>
          <w:b/>
          <w:sz w:val="28"/>
          <w:szCs w:val="28"/>
          <w:lang w:val="en-US"/>
        </w:rPr>
      </w:pPr>
      <w:r w:rsidRPr="0036257B">
        <w:rPr>
          <w:rFonts w:ascii="Times New Roman" w:hAnsi="Times New Roman"/>
          <w:b/>
          <w:sz w:val="28"/>
          <w:szCs w:val="28"/>
          <w:lang w:val="en-US"/>
        </w:rPr>
        <w:t xml:space="preserve">ANALISIS PORTOFOLIO OPTIMUM SAHAM SYARIAH DAN PROSPEKNYA MENGGUNAKAN  </w:t>
      </w:r>
      <w:r w:rsidRPr="0036257B">
        <w:rPr>
          <w:rFonts w:ascii="Times New Roman" w:hAnsi="Times New Roman"/>
          <w:b/>
          <w:i/>
          <w:sz w:val="28"/>
          <w:szCs w:val="28"/>
          <w:lang w:val="en-US"/>
        </w:rPr>
        <w:t>VALUE AT RISK</w:t>
      </w:r>
      <w:r w:rsidRPr="0036257B">
        <w:rPr>
          <w:rFonts w:ascii="Times New Roman" w:hAnsi="Times New Roman"/>
          <w:b/>
          <w:sz w:val="28"/>
          <w:szCs w:val="28"/>
          <w:lang w:val="en-US"/>
        </w:rPr>
        <w:t xml:space="preserve"> - </w:t>
      </w:r>
      <w:r w:rsidRPr="0036257B">
        <w:rPr>
          <w:rFonts w:ascii="Times New Roman" w:hAnsi="Times New Roman"/>
          <w:b/>
          <w:i/>
          <w:sz w:val="28"/>
          <w:szCs w:val="28"/>
        </w:rPr>
        <w:t>CAPITAL ASSET PRICING MODEL</w:t>
      </w:r>
      <w:r w:rsidRPr="0036257B">
        <w:rPr>
          <w:rFonts w:ascii="Times New Roman" w:hAnsi="Times New Roman"/>
          <w:b/>
          <w:sz w:val="28"/>
          <w:szCs w:val="28"/>
          <w:lang w:val="en-US"/>
        </w:rPr>
        <w:t xml:space="preserve"> (VAR-</w:t>
      </w:r>
      <w:r w:rsidRPr="0036257B">
        <w:rPr>
          <w:rFonts w:ascii="Times New Roman" w:hAnsi="Times New Roman"/>
          <w:b/>
          <w:sz w:val="28"/>
          <w:szCs w:val="28"/>
        </w:rPr>
        <w:t>C</w:t>
      </w:r>
      <w:r w:rsidRPr="0036257B">
        <w:rPr>
          <w:rFonts w:ascii="Times New Roman" w:hAnsi="Times New Roman"/>
          <w:b/>
          <w:sz w:val="28"/>
          <w:szCs w:val="28"/>
          <w:lang w:val="en-US"/>
        </w:rPr>
        <w:t xml:space="preserve">APM) DALAM RANGKA PENGEMBANGAN PASAR MODAL SYARIAH DI INDONESIA </w:t>
      </w:r>
    </w:p>
    <w:p w:rsidR="0046032E" w:rsidRDefault="0046032E" w:rsidP="0046032E">
      <w:pPr>
        <w:pStyle w:val="NoSpacing"/>
        <w:jc w:val="center"/>
        <w:rPr>
          <w:rFonts w:ascii="Times New Roman" w:hAnsi="Times New Roman"/>
          <w:sz w:val="24"/>
          <w:szCs w:val="24"/>
          <w:lang w:val="en-US"/>
        </w:rPr>
      </w:pPr>
    </w:p>
    <w:p w:rsidR="0036257B" w:rsidRPr="007856F2" w:rsidRDefault="0036257B" w:rsidP="0046032E">
      <w:pPr>
        <w:pStyle w:val="NoSpacing"/>
        <w:jc w:val="center"/>
        <w:rPr>
          <w:rFonts w:ascii="Times New Roman" w:hAnsi="Times New Roman"/>
          <w:sz w:val="24"/>
          <w:szCs w:val="24"/>
          <w:lang w:val="en-US"/>
        </w:rPr>
      </w:pPr>
    </w:p>
    <w:p w:rsidR="0046032E" w:rsidRPr="007856F2" w:rsidRDefault="0046032E" w:rsidP="0046032E">
      <w:pPr>
        <w:pStyle w:val="NoSpacing"/>
        <w:jc w:val="center"/>
        <w:rPr>
          <w:rFonts w:ascii="Times New Roman" w:hAnsi="Times New Roman"/>
          <w:sz w:val="24"/>
          <w:szCs w:val="24"/>
          <w:lang w:val="en-US"/>
        </w:rPr>
      </w:pPr>
      <w:r w:rsidRPr="007856F2">
        <w:rPr>
          <w:rFonts w:ascii="Times New Roman" w:hAnsi="Times New Roman"/>
          <w:noProof/>
          <w:sz w:val="24"/>
          <w:szCs w:val="24"/>
          <w:lang w:val="en-US"/>
        </w:rPr>
        <w:drawing>
          <wp:inline distT="0" distB="0" distL="0" distR="0">
            <wp:extent cx="1899841" cy="2333090"/>
            <wp:effectExtent l="19050" t="0" r="515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06002" cy="2340656"/>
                    </a:xfrm>
                    <a:prstGeom prst="rect">
                      <a:avLst/>
                    </a:prstGeom>
                    <a:noFill/>
                    <a:ln w="9525">
                      <a:noFill/>
                      <a:miter lim="800000"/>
                      <a:headEnd/>
                      <a:tailEnd/>
                    </a:ln>
                  </pic:spPr>
                </pic:pic>
              </a:graphicData>
            </a:graphic>
          </wp:inline>
        </w:drawing>
      </w:r>
    </w:p>
    <w:p w:rsidR="0046032E" w:rsidRPr="007856F2" w:rsidRDefault="0046032E" w:rsidP="0046032E">
      <w:pPr>
        <w:pStyle w:val="NoSpacing"/>
        <w:jc w:val="center"/>
        <w:rPr>
          <w:rFonts w:ascii="Times New Roman" w:hAnsi="Times New Roman"/>
          <w:sz w:val="24"/>
          <w:szCs w:val="24"/>
          <w:lang w:val="en-US"/>
        </w:rPr>
      </w:pPr>
    </w:p>
    <w:p w:rsidR="0046032E" w:rsidRDefault="0046032E" w:rsidP="0046032E">
      <w:pPr>
        <w:pStyle w:val="NoSpacing"/>
        <w:jc w:val="center"/>
        <w:rPr>
          <w:rFonts w:ascii="Times New Roman" w:hAnsi="Times New Roman"/>
          <w:sz w:val="24"/>
          <w:szCs w:val="24"/>
          <w:lang w:val="en-US"/>
        </w:rPr>
      </w:pPr>
    </w:p>
    <w:p w:rsidR="0046032E" w:rsidRPr="007856F2" w:rsidRDefault="0046032E" w:rsidP="0046032E">
      <w:pPr>
        <w:pStyle w:val="NoSpacing"/>
        <w:jc w:val="center"/>
        <w:rPr>
          <w:rFonts w:ascii="Times New Roman" w:hAnsi="Times New Roman"/>
          <w:sz w:val="24"/>
          <w:szCs w:val="24"/>
          <w:lang w:val="en-US"/>
        </w:rPr>
      </w:pPr>
    </w:p>
    <w:p w:rsidR="0046032E" w:rsidRPr="007856F2" w:rsidRDefault="0046032E" w:rsidP="0046032E">
      <w:pPr>
        <w:pStyle w:val="NoSpacing"/>
        <w:jc w:val="center"/>
        <w:rPr>
          <w:rFonts w:ascii="Times New Roman" w:hAnsi="Times New Roman"/>
          <w:sz w:val="24"/>
          <w:szCs w:val="24"/>
          <w:lang w:val="en-US"/>
        </w:rPr>
      </w:pPr>
    </w:p>
    <w:p w:rsidR="0046032E" w:rsidRPr="007856F2" w:rsidRDefault="0046032E" w:rsidP="0046032E">
      <w:pPr>
        <w:pStyle w:val="NoSpacing"/>
        <w:jc w:val="center"/>
        <w:rPr>
          <w:rFonts w:ascii="Times New Roman" w:hAnsi="Times New Roman"/>
          <w:sz w:val="24"/>
          <w:szCs w:val="24"/>
          <w:lang w:val="en-US"/>
        </w:rPr>
      </w:pPr>
    </w:p>
    <w:p w:rsidR="0046032E" w:rsidRDefault="0046032E" w:rsidP="0046032E">
      <w:pPr>
        <w:pStyle w:val="NoSpacing"/>
        <w:jc w:val="center"/>
        <w:rPr>
          <w:rFonts w:ascii="Times New Roman" w:hAnsi="Times New Roman"/>
          <w:sz w:val="24"/>
          <w:szCs w:val="24"/>
          <w:lang w:val="en-US"/>
        </w:rPr>
      </w:pPr>
    </w:p>
    <w:p w:rsidR="0046032E" w:rsidRPr="007856F2" w:rsidRDefault="0046032E" w:rsidP="0046032E">
      <w:pPr>
        <w:pStyle w:val="NoSpacing"/>
        <w:jc w:val="center"/>
        <w:rPr>
          <w:rFonts w:ascii="Times New Roman" w:hAnsi="Times New Roman"/>
          <w:sz w:val="24"/>
          <w:szCs w:val="24"/>
          <w:lang w:val="en-US"/>
        </w:rPr>
      </w:pPr>
    </w:p>
    <w:p w:rsidR="0046032E" w:rsidRPr="00F165A9" w:rsidRDefault="0036257B" w:rsidP="0046032E">
      <w:pPr>
        <w:pStyle w:val="NoSpacing"/>
        <w:jc w:val="center"/>
        <w:rPr>
          <w:rFonts w:ascii="Times New Roman" w:hAnsi="Times New Roman"/>
          <w:sz w:val="28"/>
          <w:szCs w:val="28"/>
          <w:lang w:val="en-US"/>
        </w:rPr>
      </w:pPr>
      <w:r>
        <w:rPr>
          <w:rFonts w:ascii="Times New Roman" w:hAnsi="Times New Roman"/>
          <w:sz w:val="28"/>
          <w:szCs w:val="28"/>
          <w:lang w:val="en-US"/>
        </w:rPr>
        <w:t>Oleh</w:t>
      </w:r>
      <w:r w:rsidR="0046032E" w:rsidRPr="00F165A9">
        <w:rPr>
          <w:rFonts w:ascii="Times New Roman" w:hAnsi="Times New Roman"/>
          <w:sz w:val="28"/>
          <w:szCs w:val="28"/>
          <w:lang w:val="en-US"/>
        </w:rPr>
        <w:t>:</w:t>
      </w:r>
    </w:p>
    <w:p w:rsidR="0046032E" w:rsidRPr="0036257B" w:rsidRDefault="0046032E" w:rsidP="0046032E">
      <w:pPr>
        <w:pStyle w:val="NoSpacing"/>
        <w:jc w:val="center"/>
        <w:rPr>
          <w:rFonts w:ascii="Times New Roman" w:hAnsi="Times New Roman"/>
          <w:b/>
          <w:sz w:val="28"/>
          <w:szCs w:val="28"/>
          <w:lang w:val="en-US"/>
        </w:rPr>
      </w:pPr>
      <w:r w:rsidRPr="0036257B">
        <w:rPr>
          <w:rFonts w:ascii="Times New Roman" w:hAnsi="Times New Roman"/>
          <w:b/>
          <w:sz w:val="28"/>
          <w:szCs w:val="28"/>
          <w:lang w:val="en-US"/>
        </w:rPr>
        <w:t>Mohammad Farhan Qudratullah, M.Si.</w:t>
      </w:r>
    </w:p>
    <w:tbl>
      <w:tblPr>
        <w:tblStyle w:val="TableGrid"/>
        <w:tblW w:w="78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71"/>
        <w:gridCol w:w="2354"/>
        <w:gridCol w:w="2354"/>
      </w:tblGrid>
      <w:tr w:rsidR="0046032E" w:rsidRPr="00D2723B" w:rsidTr="0046032E">
        <w:trPr>
          <w:jc w:val="center"/>
        </w:trPr>
        <w:tc>
          <w:tcPr>
            <w:tcW w:w="3171" w:type="dxa"/>
          </w:tcPr>
          <w:p w:rsidR="0046032E" w:rsidRPr="00D2723B" w:rsidRDefault="0046032E" w:rsidP="0046032E">
            <w:pPr>
              <w:pStyle w:val="NoSpacing"/>
              <w:spacing w:line="276" w:lineRule="auto"/>
              <w:jc w:val="right"/>
              <w:rPr>
                <w:lang w:val="en-US"/>
              </w:rPr>
            </w:pPr>
          </w:p>
        </w:tc>
        <w:tc>
          <w:tcPr>
            <w:tcW w:w="4708" w:type="dxa"/>
            <w:gridSpan w:val="2"/>
          </w:tcPr>
          <w:p w:rsidR="0046032E" w:rsidRPr="00874590" w:rsidRDefault="0046032E" w:rsidP="0046032E">
            <w:pPr>
              <w:pStyle w:val="NoSpacing"/>
              <w:rPr>
                <w:sz w:val="24"/>
                <w:szCs w:val="24"/>
                <w:lang w:val="en-US"/>
              </w:rPr>
            </w:pPr>
          </w:p>
        </w:tc>
      </w:tr>
      <w:tr w:rsidR="0046032E" w:rsidTr="0046032E">
        <w:trPr>
          <w:jc w:val="center"/>
        </w:trPr>
        <w:tc>
          <w:tcPr>
            <w:tcW w:w="3171" w:type="dxa"/>
          </w:tcPr>
          <w:p w:rsidR="0046032E" w:rsidRDefault="0046032E" w:rsidP="0046032E">
            <w:pPr>
              <w:pStyle w:val="NoSpacing"/>
              <w:spacing w:line="276" w:lineRule="auto"/>
              <w:jc w:val="right"/>
              <w:rPr>
                <w:lang w:val="en-US"/>
              </w:rPr>
            </w:pPr>
          </w:p>
        </w:tc>
        <w:tc>
          <w:tcPr>
            <w:tcW w:w="2354" w:type="dxa"/>
          </w:tcPr>
          <w:p w:rsidR="0046032E" w:rsidRDefault="0046032E" w:rsidP="0046032E">
            <w:pPr>
              <w:pStyle w:val="NoSpacing"/>
              <w:spacing w:line="276" w:lineRule="auto"/>
              <w:rPr>
                <w:lang w:val="en-US"/>
              </w:rPr>
            </w:pPr>
          </w:p>
        </w:tc>
        <w:tc>
          <w:tcPr>
            <w:tcW w:w="2354" w:type="dxa"/>
          </w:tcPr>
          <w:p w:rsidR="0046032E" w:rsidRDefault="0046032E" w:rsidP="0046032E">
            <w:pPr>
              <w:pStyle w:val="NoSpacing"/>
              <w:spacing w:line="276" w:lineRule="auto"/>
              <w:rPr>
                <w:lang w:val="en-US"/>
              </w:rPr>
            </w:pPr>
          </w:p>
        </w:tc>
      </w:tr>
      <w:tr w:rsidR="0046032E" w:rsidTr="0046032E">
        <w:trPr>
          <w:jc w:val="center"/>
        </w:trPr>
        <w:tc>
          <w:tcPr>
            <w:tcW w:w="3171" w:type="dxa"/>
          </w:tcPr>
          <w:p w:rsidR="0046032E" w:rsidRDefault="0046032E" w:rsidP="0046032E">
            <w:pPr>
              <w:pStyle w:val="NoSpacing"/>
              <w:spacing w:line="276" w:lineRule="auto"/>
              <w:jc w:val="right"/>
              <w:rPr>
                <w:lang w:val="en-US"/>
              </w:rPr>
            </w:pPr>
          </w:p>
        </w:tc>
        <w:tc>
          <w:tcPr>
            <w:tcW w:w="2354" w:type="dxa"/>
          </w:tcPr>
          <w:p w:rsidR="0046032E" w:rsidRDefault="0046032E" w:rsidP="0046032E">
            <w:pPr>
              <w:pStyle w:val="NoSpacing"/>
              <w:spacing w:line="276" w:lineRule="auto"/>
              <w:rPr>
                <w:lang w:val="en-US"/>
              </w:rPr>
            </w:pPr>
          </w:p>
        </w:tc>
        <w:tc>
          <w:tcPr>
            <w:tcW w:w="2354" w:type="dxa"/>
          </w:tcPr>
          <w:p w:rsidR="0046032E" w:rsidRDefault="0046032E" w:rsidP="0046032E">
            <w:pPr>
              <w:pStyle w:val="NoSpacing"/>
              <w:spacing w:line="276" w:lineRule="auto"/>
              <w:rPr>
                <w:lang w:val="en-US"/>
              </w:rPr>
            </w:pPr>
          </w:p>
        </w:tc>
      </w:tr>
      <w:tr w:rsidR="0046032E" w:rsidTr="0046032E">
        <w:trPr>
          <w:jc w:val="center"/>
        </w:trPr>
        <w:tc>
          <w:tcPr>
            <w:tcW w:w="3171" w:type="dxa"/>
          </w:tcPr>
          <w:p w:rsidR="0046032E" w:rsidRDefault="0046032E" w:rsidP="0046032E">
            <w:pPr>
              <w:pStyle w:val="NoSpacing"/>
              <w:spacing w:line="276" w:lineRule="auto"/>
              <w:jc w:val="right"/>
              <w:rPr>
                <w:lang w:val="en-US"/>
              </w:rPr>
            </w:pPr>
          </w:p>
        </w:tc>
        <w:tc>
          <w:tcPr>
            <w:tcW w:w="2354" w:type="dxa"/>
          </w:tcPr>
          <w:p w:rsidR="0046032E" w:rsidRDefault="0046032E" w:rsidP="0046032E">
            <w:pPr>
              <w:pStyle w:val="NoSpacing"/>
              <w:spacing w:line="276" w:lineRule="auto"/>
              <w:rPr>
                <w:lang w:val="en-US"/>
              </w:rPr>
            </w:pPr>
          </w:p>
        </w:tc>
        <w:tc>
          <w:tcPr>
            <w:tcW w:w="2354" w:type="dxa"/>
          </w:tcPr>
          <w:p w:rsidR="0046032E" w:rsidRDefault="0046032E" w:rsidP="0046032E">
            <w:pPr>
              <w:pStyle w:val="NoSpacing"/>
              <w:spacing w:line="276" w:lineRule="auto"/>
              <w:rPr>
                <w:lang w:val="en-US"/>
              </w:rPr>
            </w:pPr>
          </w:p>
        </w:tc>
      </w:tr>
    </w:tbl>
    <w:p w:rsidR="0046032E" w:rsidRPr="007856F2" w:rsidRDefault="0046032E" w:rsidP="0046032E">
      <w:pPr>
        <w:pStyle w:val="NoSpacing"/>
        <w:rPr>
          <w:rFonts w:ascii="Times New Roman" w:hAnsi="Times New Roman"/>
          <w:sz w:val="24"/>
          <w:szCs w:val="24"/>
          <w:lang w:val="en-US"/>
        </w:rPr>
      </w:pPr>
    </w:p>
    <w:p w:rsidR="0046032E" w:rsidRPr="007856F2" w:rsidRDefault="0046032E" w:rsidP="0046032E">
      <w:pPr>
        <w:pStyle w:val="NoSpacing"/>
        <w:rPr>
          <w:rFonts w:ascii="Times New Roman" w:hAnsi="Times New Roman"/>
          <w:sz w:val="24"/>
          <w:szCs w:val="24"/>
          <w:lang w:val="en-US"/>
        </w:rPr>
      </w:pPr>
    </w:p>
    <w:p w:rsidR="0046032E" w:rsidRDefault="0046032E" w:rsidP="0046032E">
      <w:pPr>
        <w:pStyle w:val="NoSpacing"/>
        <w:rPr>
          <w:rFonts w:ascii="Times New Roman" w:hAnsi="Times New Roman"/>
          <w:sz w:val="24"/>
          <w:szCs w:val="24"/>
          <w:lang w:val="en-US"/>
        </w:rPr>
      </w:pPr>
    </w:p>
    <w:p w:rsidR="0046032E" w:rsidRDefault="0046032E" w:rsidP="0046032E">
      <w:pPr>
        <w:pStyle w:val="NoSpacing"/>
        <w:jc w:val="center"/>
        <w:rPr>
          <w:rFonts w:ascii="Times New Roman" w:hAnsi="Times New Roman"/>
          <w:sz w:val="24"/>
          <w:szCs w:val="24"/>
          <w:lang w:val="en-US"/>
        </w:rPr>
      </w:pPr>
    </w:p>
    <w:p w:rsidR="0046032E" w:rsidRPr="000726FA" w:rsidRDefault="0046032E" w:rsidP="0046032E">
      <w:pPr>
        <w:pStyle w:val="NoSpacing"/>
        <w:jc w:val="center"/>
        <w:rPr>
          <w:rFonts w:ascii="Times New Roman" w:hAnsi="Times New Roman"/>
          <w:sz w:val="32"/>
          <w:szCs w:val="32"/>
          <w:lang w:val="en-US"/>
        </w:rPr>
      </w:pPr>
    </w:p>
    <w:p w:rsidR="0036257B" w:rsidRPr="000726FA" w:rsidRDefault="0046032E" w:rsidP="0046032E">
      <w:pPr>
        <w:pStyle w:val="NoSpacing"/>
        <w:jc w:val="center"/>
        <w:rPr>
          <w:rFonts w:ascii="Times New Roman" w:hAnsi="Times New Roman"/>
          <w:b/>
          <w:sz w:val="32"/>
          <w:szCs w:val="32"/>
          <w:lang w:val="en-US"/>
        </w:rPr>
      </w:pPr>
      <w:r w:rsidRPr="000726FA">
        <w:rPr>
          <w:rFonts w:ascii="Times New Roman" w:hAnsi="Times New Roman"/>
          <w:b/>
          <w:sz w:val="32"/>
          <w:szCs w:val="32"/>
          <w:lang w:val="en-US"/>
        </w:rPr>
        <w:t xml:space="preserve">UNIVERSITAS ISLAM NEGERI </w:t>
      </w:r>
    </w:p>
    <w:p w:rsidR="0046032E" w:rsidRPr="000726FA" w:rsidRDefault="0046032E" w:rsidP="0046032E">
      <w:pPr>
        <w:pStyle w:val="NoSpacing"/>
        <w:jc w:val="center"/>
        <w:rPr>
          <w:rFonts w:ascii="Times New Roman" w:hAnsi="Times New Roman"/>
          <w:b/>
          <w:sz w:val="32"/>
          <w:szCs w:val="32"/>
          <w:lang w:val="en-US"/>
        </w:rPr>
      </w:pPr>
      <w:r w:rsidRPr="000726FA">
        <w:rPr>
          <w:rFonts w:ascii="Times New Roman" w:hAnsi="Times New Roman"/>
          <w:b/>
          <w:sz w:val="32"/>
          <w:szCs w:val="32"/>
          <w:lang w:val="en-US"/>
        </w:rPr>
        <w:t>SUNAN KAIJAGA</w:t>
      </w:r>
      <w:r w:rsidRPr="000726FA">
        <w:rPr>
          <w:rFonts w:ascii="Times New Roman" w:hAnsi="Times New Roman"/>
          <w:b/>
          <w:sz w:val="32"/>
          <w:szCs w:val="32"/>
          <w:lang w:val="en-US"/>
        </w:rPr>
        <w:br/>
        <w:t>YOGYAKARTA</w:t>
      </w:r>
    </w:p>
    <w:p w:rsidR="00DC3723" w:rsidRDefault="0046032E" w:rsidP="000726FA">
      <w:pPr>
        <w:pStyle w:val="NoSpacing"/>
        <w:jc w:val="center"/>
        <w:rPr>
          <w:rFonts w:ascii="Times New Roman" w:hAnsi="Times New Roman"/>
          <w:b/>
          <w:sz w:val="24"/>
          <w:szCs w:val="24"/>
          <w:lang w:val="en-US"/>
        </w:rPr>
      </w:pPr>
      <w:r w:rsidRPr="000726FA">
        <w:rPr>
          <w:rFonts w:ascii="Times New Roman" w:hAnsi="Times New Roman"/>
          <w:b/>
          <w:sz w:val="32"/>
          <w:szCs w:val="32"/>
          <w:lang w:val="en-US"/>
        </w:rPr>
        <w:t>201</w:t>
      </w:r>
      <w:r w:rsidR="00432D71" w:rsidRPr="000726FA">
        <w:rPr>
          <w:rFonts w:ascii="Times New Roman" w:hAnsi="Times New Roman"/>
          <w:b/>
          <w:sz w:val="32"/>
          <w:szCs w:val="32"/>
          <w:lang w:val="en-US"/>
        </w:rPr>
        <w:t>3</w:t>
      </w:r>
    </w:p>
    <w:p w:rsidR="007E14EE" w:rsidRDefault="007E14EE" w:rsidP="007E14EE">
      <w:pPr>
        <w:pStyle w:val="NoSpacing"/>
        <w:rPr>
          <w:rFonts w:ascii="Times New Roman" w:hAnsi="Times New Roman"/>
          <w:b/>
          <w:sz w:val="24"/>
          <w:szCs w:val="24"/>
          <w:lang w:val="en-US"/>
        </w:rPr>
        <w:sectPr w:rsidR="007E14EE" w:rsidSect="00C54AC3">
          <w:footerReference w:type="default" r:id="rId8"/>
          <w:pgSz w:w="11906" w:h="16838" w:code="9"/>
          <w:pgMar w:top="1418" w:right="1418" w:bottom="1418" w:left="1418" w:header="709" w:footer="709" w:gutter="0"/>
          <w:cols w:space="708"/>
          <w:docGrid w:linePitch="360"/>
        </w:sectPr>
      </w:pPr>
    </w:p>
    <w:p w:rsidR="000726FA" w:rsidRPr="000726FA" w:rsidRDefault="000726FA" w:rsidP="009B704E">
      <w:pPr>
        <w:pStyle w:val="NoSpacing"/>
        <w:spacing w:line="276" w:lineRule="auto"/>
        <w:jc w:val="center"/>
        <w:rPr>
          <w:rFonts w:ascii="Times New Roman" w:hAnsi="Times New Roman"/>
          <w:b/>
          <w:sz w:val="24"/>
          <w:szCs w:val="24"/>
          <w:lang w:val="en-US"/>
        </w:rPr>
      </w:pPr>
      <w:r w:rsidRPr="000726FA">
        <w:rPr>
          <w:rFonts w:ascii="Times New Roman" w:hAnsi="Times New Roman"/>
          <w:b/>
          <w:sz w:val="24"/>
          <w:szCs w:val="24"/>
          <w:lang w:val="en-US"/>
        </w:rPr>
        <w:lastRenderedPageBreak/>
        <w:t xml:space="preserve">Analisis Portofolio Optimum Saham Syariah Dan Prospeknya </w:t>
      </w:r>
      <w:proofErr w:type="gramStart"/>
      <w:r w:rsidRPr="000726FA">
        <w:rPr>
          <w:rFonts w:ascii="Times New Roman" w:hAnsi="Times New Roman"/>
          <w:b/>
          <w:sz w:val="24"/>
          <w:szCs w:val="24"/>
          <w:lang w:val="en-US"/>
        </w:rPr>
        <w:t xml:space="preserve">Menggunakan  </w:t>
      </w:r>
      <w:r w:rsidR="00D51517">
        <w:rPr>
          <w:rFonts w:ascii="Times New Roman" w:hAnsi="Times New Roman"/>
          <w:b/>
          <w:i/>
          <w:sz w:val="24"/>
          <w:szCs w:val="24"/>
          <w:lang w:val="en-US"/>
        </w:rPr>
        <w:t>Value</w:t>
      </w:r>
      <w:proofErr w:type="gramEnd"/>
      <w:r w:rsidR="00D51517">
        <w:rPr>
          <w:rFonts w:ascii="Times New Roman" w:hAnsi="Times New Roman"/>
          <w:b/>
          <w:i/>
          <w:sz w:val="24"/>
          <w:szCs w:val="24"/>
          <w:lang w:val="en-US"/>
        </w:rPr>
        <w:t xml:space="preserve"> a</w:t>
      </w:r>
      <w:r w:rsidRPr="000726FA">
        <w:rPr>
          <w:rFonts w:ascii="Times New Roman" w:hAnsi="Times New Roman"/>
          <w:b/>
          <w:i/>
          <w:sz w:val="24"/>
          <w:szCs w:val="24"/>
          <w:lang w:val="en-US"/>
        </w:rPr>
        <w:t>t Risk</w:t>
      </w:r>
      <w:r w:rsidRPr="000726FA">
        <w:rPr>
          <w:rFonts w:ascii="Times New Roman" w:hAnsi="Times New Roman"/>
          <w:b/>
          <w:sz w:val="24"/>
          <w:szCs w:val="24"/>
          <w:lang w:val="en-US"/>
        </w:rPr>
        <w:t xml:space="preserve"> - </w:t>
      </w:r>
      <w:r w:rsidRPr="000726FA">
        <w:rPr>
          <w:rFonts w:ascii="Times New Roman" w:hAnsi="Times New Roman"/>
          <w:b/>
          <w:i/>
          <w:sz w:val="24"/>
          <w:szCs w:val="24"/>
        </w:rPr>
        <w:t>Capital Asset Pricing Model</w:t>
      </w:r>
      <w:r>
        <w:rPr>
          <w:rFonts w:ascii="Times New Roman" w:hAnsi="Times New Roman"/>
          <w:b/>
          <w:sz w:val="24"/>
          <w:szCs w:val="24"/>
          <w:lang w:val="en-US"/>
        </w:rPr>
        <w:t xml:space="preserve"> (VaR</w:t>
      </w:r>
      <w:r w:rsidRPr="000726FA">
        <w:rPr>
          <w:rFonts w:ascii="Times New Roman" w:hAnsi="Times New Roman"/>
          <w:b/>
          <w:sz w:val="24"/>
          <w:szCs w:val="24"/>
          <w:lang w:val="en-US"/>
        </w:rPr>
        <w:t>-</w:t>
      </w:r>
      <w:r w:rsidRPr="000726FA">
        <w:rPr>
          <w:rFonts w:ascii="Times New Roman" w:hAnsi="Times New Roman"/>
          <w:b/>
          <w:sz w:val="24"/>
          <w:szCs w:val="24"/>
        </w:rPr>
        <w:t>C</w:t>
      </w:r>
      <w:r>
        <w:rPr>
          <w:rFonts w:ascii="Times New Roman" w:hAnsi="Times New Roman"/>
          <w:b/>
          <w:sz w:val="24"/>
          <w:szCs w:val="24"/>
          <w:lang w:val="en-US"/>
        </w:rPr>
        <w:t>APM</w:t>
      </w:r>
      <w:r w:rsidR="00D51517">
        <w:rPr>
          <w:rFonts w:ascii="Times New Roman" w:hAnsi="Times New Roman"/>
          <w:b/>
          <w:sz w:val="24"/>
          <w:szCs w:val="24"/>
          <w:lang w:val="en-US"/>
        </w:rPr>
        <w:t>) d</w:t>
      </w:r>
      <w:r w:rsidRPr="000726FA">
        <w:rPr>
          <w:rFonts w:ascii="Times New Roman" w:hAnsi="Times New Roman"/>
          <w:b/>
          <w:sz w:val="24"/>
          <w:szCs w:val="24"/>
          <w:lang w:val="en-US"/>
        </w:rPr>
        <w:t xml:space="preserve">alam Rangka Pengembangan Pasar Modal Syariah Di Indonesia </w:t>
      </w:r>
    </w:p>
    <w:p w:rsidR="000726FA" w:rsidRDefault="000726FA" w:rsidP="009B704E">
      <w:pPr>
        <w:pStyle w:val="NoSpacing"/>
        <w:spacing w:line="276" w:lineRule="auto"/>
        <w:jc w:val="both"/>
        <w:rPr>
          <w:rFonts w:ascii="Times New Roman" w:hAnsi="Times New Roman"/>
          <w:b/>
          <w:sz w:val="24"/>
          <w:szCs w:val="24"/>
          <w:lang w:val="en-US"/>
        </w:rPr>
      </w:pPr>
    </w:p>
    <w:p w:rsidR="009B704E" w:rsidRDefault="009B704E" w:rsidP="009B704E">
      <w:pPr>
        <w:pStyle w:val="NoSpacing"/>
        <w:spacing w:line="276" w:lineRule="auto"/>
        <w:jc w:val="both"/>
        <w:rPr>
          <w:rFonts w:ascii="Times New Roman" w:hAnsi="Times New Roman"/>
          <w:b/>
          <w:sz w:val="24"/>
          <w:szCs w:val="24"/>
          <w:lang w:val="en-US"/>
        </w:rPr>
      </w:pPr>
    </w:p>
    <w:p w:rsidR="000726FA" w:rsidRDefault="000726FA" w:rsidP="009B704E">
      <w:pPr>
        <w:pStyle w:val="NoSpacing"/>
        <w:spacing w:line="276" w:lineRule="auto"/>
        <w:jc w:val="center"/>
        <w:rPr>
          <w:rFonts w:ascii="Times New Roman" w:hAnsi="Times New Roman"/>
          <w:b/>
          <w:sz w:val="24"/>
          <w:szCs w:val="24"/>
          <w:vertAlign w:val="superscript"/>
          <w:lang w:val="en-US"/>
        </w:rPr>
      </w:pPr>
      <w:r>
        <w:rPr>
          <w:rFonts w:ascii="Times New Roman" w:hAnsi="Times New Roman"/>
          <w:b/>
          <w:sz w:val="24"/>
          <w:szCs w:val="24"/>
          <w:lang w:val="en-US"/>
        </w:rPr>
        <w:t>Mohammad Farhan Qudratullah</w:t>
      </w:r>
      <w:r>
        <w:rPr>
          <w:rFonts w:ascii="Times New Roman" w:hAnsi="Times New Roman"/>
          <w:b/>
          <w:sz w:val="24"/>
          <w:szCs w:val="24"/>
          <w:vertAlign w:val="superscript"/>
          <w:lang w:val="en-US"/>
        </w:rPr>
        <w:t>1</w:t>
      </w:r>
    </w:p>
    <w:p w:rsidR="000726FA" w:rsidRDefault="000726FA" w:rsidP="009B704E">
      <w:pPr>
        <w:pStyle w:val="NoSpacing"/>
        <w:spacing w:line="276" w:lineRule="auto"/>
        <w:jc w:val="center"/>
        <w:rPr>
          <w:rFonts w:ascii="Times New Roman" w:hAnsi="Times New Roman"/>
          <w:lang w:val="en-US"/>
        </w:rPr>
      </w:pPr>
      <w:r w:rsidRPr="000726FA">
        <w:rPr>
          <w:rFonts w:ascii="Times New Roman" w:hAnsi="Times New Roman"/>
          <w:vertAlign w:val="superscript"/>
        </w:rPr>
        <w:t>1</w:t>
      </w:r>
      <w:r w:rsidRPr="000726FA">
        <w:rPr>
          <w:rFonts w:ascii="Times New Roman" w:hAnsi="Times New Roman"/>
        </w:rPr>
        <w:t>Program Studi Matematika Fakultas Sains dan Teknologi UIN Sunan Kalijaga Yogyakarta</w:t>
      </w:r>
    </w:p>
    <w:p w:rsidR="000726FA" w:rsidRDefault="000726FA" w:rsidP="009B704E">
      <w:pPr>
        <w:pStyle w:val="NoSpacing"/>
        <w:spacing w:line="276" w:lineRule="auto"/>
        <w:jc w:val="center"/>
        <w:rPr>
          <w:rFonts w:ascii="Times New Roman" w:hAnsi="Times New Roman"/>
          <w:lang w:val="en-US"/>
        </w:rPr>
      </w:pPr>
      <w:r>
        <w:rPr>
          <w:rFonts w:ascii="Times New Roman" w:hAnsi="Times New Roman"/>
          <w:lang w:val="en-US"/>
        </w:rPr>
        <w:t>Jl. Marda Adisucipto Yogyakarta</w:t>
      </w:r>
    </w:p>
    <w:p w:rsidR="000726FA" w:rsidRDefault="000726FA" w:rsidP="009B704E">
      <w:pPr>
        <w:pStyle w:val="NoSpacing"/>
        <w:spacing w:line="276" w:lineRule="auto"/>
        <w:jc w:val="center"/>
        <w:rPr>
          <w:rFonts w:ascii="Times New Roman" w:hAnsi="Times New Roman"/>
          <w:lang w:val="en-US"/>
        </w:rPr>
      </w:pPr>
      <w:hyperlink r:id="rId9" w:history="1">
        <w:r w:rsidRPr="00177166">
          <w:rPr>
            <w:rStyle w:val="Hyperlink"/>
            <w:rFonts w:ascii="Times New Roman" w:hAnsi="Times New Roman"/>
            <w:lang w:val="en-US"/>
          </w:rPr>
          <w:t>aching_lo@yahoo.com</w:t>
        </w:r>
      </w:hyperlink>
    </w:p>
    <w:p w:rsidR="000726FA" w:rsidRDefault="000726FA" w:rsidP="009B704E">
      <w:pPr>
        <w:pStyle w:val="NoSpacing"/>
        <w:spacing w:line="276" w:lineRule="auto"/>
        <w:jc w:val="center"/>
        <w:rPr>
          <w:rFonts w:ascii="Times New Roman" w:hAnsi="Times New Roman"/>
          <w:lang w:val="en-US"/>
        </w:rPr>
      </w:pPr>
    </w:p>
    <w:p w:rsidR="000726FA" w:rsidRDefault="000726FA" w:rsidP="009B704E">
      <w:pPr>
        <w:pStyle w:val="NoSpacing"/>
        <w:spacing w:line="276" w:lineRule="auto"/>
        <w:jc w:val="center"/>
        <w:rPr>
          <w:rFonts w:ascii="Times New Roman" w:hAnsi="Times New Roman"/>
          <w:lang w:val="en-US"/>
        </w:rPr>
      </w:pPr>
    </w:p>
    <w:p w:rsidR="009B704E" w:rsidRDefault="009B704E" w:rsidP="009B704E">
      <w:pPr>
        <w:pStyle w:val="NoSpacing"/>
        <w:spacing w:line="276" w:lineRule="auto"/>
        <w:jc w:val="center"/>
        <w:rPr>
          <w:rFonts w:ascii="Times New Roman" w:hAnsi="Times New Roman"/>
          <w:lang w:val="en-US"/>
        </w:rPr>
      </w:pPr>
    </w:p>
    <w:p w:rsidR="000726FA" w:rsidRPr="000726FA" w:rsidRDefault="000726FA" w:rsidP="009B704E">
      <w:pPr>
        <w:pStyle w:val="NoSpacing"/>
        <w:spacing w:line="276" w:lineRule="auto"/>
        <w:jc w:val="center"/>
        <w:rPr>
          <w:rFonts w:ascii="Times New Roman" w:hAnsi="Times New Roman"/>
          <w:b/>
          <w:sz w:val="24"/>
          <w:szCs w:val="24"/>
          <w:lang w:val="en-US"/>
        </w:rPr>
      </w:pPr>
      <w:r w:rsidRPr="000726FA">
        <w:rPr>
          <w:rFonts w:ascii="Times New Roman" w:hAnsi="Times New Roman"/>
          <w:b/>
          <w:sz w:val="24"/>
          <w:szCs w:val="24"/>
          <w:lang w:val="en-US"/>
        </w:rPr>
        <w:t>Abstrak</w:t>
      </w:r>
    </w:p>
    <w:p w:rsidR="00D51517" w:rsidRDefault="00D51517" w:rsidP="009B704E">
      <w:pPr>
        <w:pStyle w:val="NoSpacing"/>
        <w:spacing w:line="276" w:lineRule="auto"/>
        <w:jc w:val="center"/>
        <w:rPr>
          <w:rFonts w:ascii="Times New Roman" w:hAnsi="Times New Roman"/>
          <w:lang w:val="en-US"/>
        </w:rPr>
      </w:pPr>
    </w:p>
    <w:p w:rsidR="009B704E" w:rsidRDefault="009B704E" w:rsidP="009B704E">
      <w:pPr>
        <w:pStyle w:val="NoSpacing"/>
        <w:spacing w:line="276" w:lineRule="auto"/>
        <w:jc w:val="center"/>
        <w:rPr>
          <w:rFonts w:ascii="Times New Roman" w:hAnsi="Times New Roman"/>
          <w:lang w:val="en-US"/>
        </w:rPr>
      </w:pPr>
    </w:p>
    <w:p w:rsidR="009B704E" w:rsidRDefault="00D51517" w:rsidP="009B704E">
      <w:pPr>
        <w:pStyle w:val="NoSpacing"/>
        <w:spacing w:line="276" w:lineRule="auto"/>
        <w:jc w:val="both"/>
        <w:rPr>
          <w:rFonts w:ascii="Times New Roman" w:hAnsi="Times New Roman"/>
          <w:lang w:val="en-US"/>
        </w:rPr>
      </w:pPr>
      <w:r>
        <w:rPr>
          <w:rFonts w:ascii="Times New Roman" w:hAnsi="Times New Roman"/>
          <w:lang w:val="en-US"/>
        </w:rPr>
        <w:t>Investasi menurut Islam merupakan kegiatan muamalat yang sangat dianjurkan</w:t>
      </w:r>
      <w:r w:rsidR="009B704E">
        <w:rPr>
          <w:rFonts w:ascii="Times New Roman" w:hAnsi="Times New Roman"/>
          <w:lang w:val="en-US"/>
        </w:rPr>
        <w:t xml:space="preserve"> termasuk investasi pasar modal, i</w:t>
      </w:r>
      <w:r>
        <w:rPr>
          <w:rFonts w:ascii="Times New Roman" w:hAnsi="Times New Roman"/>
          <w:lang w:val="en-US"/>
        </w:rPr>
        <w:t xml:space="preserve">nvestasi pasar modal bersifat </w:t>
      </w:r>
      <w:r>
        <w:rPr>
          <w:rFonts w:ascii="Times New Roman" w:hAnsi="Times New Roman"/>
          <w:i/>
          <w:lang w:val="en-US"/>
        </w:rPr>
        <w:t>high return high risk</w:t>
      </w:r>
      <w:r w:rsidR="009B704E">
        <w:rPr>
          <w:rFonts w:ascii="Times New Roman" w:hAnsi="Times New Roman"/>
          <w:lang w:val="en-US"/>
        </w:rPr>
        <w:t>,</w:t>
      </w:r>
      <w:r>
        <w:rPr>
          <w:rFonts w:ascii="Times New Roman" w:hAnsi="Times New Roman"/>
          <w:lang w:val="en-US"/>
        </w:rPr>
        <w:t xml:space="preserve"> </w:t>
      </w:r>
      <w:r w:rsidR="009B704E">
        <w:rPr>
          <w:rFonts w:ascii="Times New Roman" w:hAnsi="Times New Roman"/>
          <w:lang w:val="en-US"/>
        </w:rPr>
        <w:t>s</w:t>
      </w:r>
      <w:r>
        <w:rPr>
          <w:rFonts w:ascii="Times New Roman" w:hAnsi="Times New Roman"/>
          <w:lang w:val="en-US"/>
        </w:rPr>
        <w:t xml:space="preserve">alah satu cara untuk mengurangi resiko adalah dengan membentuk portofolio. </w:t>
      </w:r>
      <w:proofErr w:type="gramStart"/>
      <w:r w:rsidR="009B704E">
        <w:rPr>
          <w:rFonts w:ascii="Times New Roman" w:hAnsi="Times New Roman"/>
          <w:lang w:val="en-US"/>
        </w:rPr>
        <w:t xml:space="preserve">Penelitian ini membahas pembentukan portofolio optimum dengan menggunakan </w:t>
      </w:r>
      <w:r w:rsidR="009B704E" w:rsidRPr="009B704E">
        <w:rPr>
          <w:rFonts w:ascii="Times New Roman" w:hAnsi="Times New Roman"/>
          <w:i/>
          <w:lang w:val="en-US"/>
        </w:rPr>
        <w:t>Value at Risk – Capital Asset Princing Model</w:t>
      </w:r>
      <w:r w:rsidR="009B704E">
        <w:rPr>
          <w:rFonts w:ascii="Times New Roman" w:hAnsi="Times New Roman"/>
          <w:lang w:val="en-US"/>
        </w:rPr>
        <w:t xml:space="preserve"> (VaR CAPM) dengan mengaplikasikannya pada saham-saham syariah yang tergabung dalam </w:t>
      </w:r>
      <w:r w:rsidR="009B704E">
        <w:rPr>
          <w:rFonts w:ascii="Times New Roman" w:hAnsi="Times New Roman"/>
          <w:i/>
          <w:lang w:val="en-US"/>
        </w:rPr>
        <w:t xml:space="preserve">Jakarta Islamic Index </w:t>
      </w:r>
      <w:r w:rsidR="009B704E">
        <w:rPr>
          <w:rFonts w:ascii="Times New Roman" w:hAnsi="Times New Roman"/>
          <w:lang w:val="en-US"/>
        </w:rPr>
        <w:t>(JII) periode Januari 2011 – Juni 2013.</w:t>
      </w:r>
      <w:proofErr w:type="gramEnd"/>
      <w:r w:rsidR="009B704E">
        <w:rPr>
          <w:rFonts w:ascii="Times New Roman" w:hAnsi="Times New Roman"/>
          <w:lang w:val="en-US"/>
        </w:rPr>
        <w:t xml:space="preserve"> Diperoleh 9 (sembilan) saham yang membentuk portofolio, yaitu </w:t>
      </w:r>
      <w:r w:rsidR="009B704E" w:rsidRPr="009B704E">
        <w:rPr>
          <w:rFonts w:ascii="Times New Roman" w:hAnsi="Times New Roman"/>
          <w:lang w:val="en-US"/>
        </w:rPr>
        <w:t>ASII</w:t>
      </w:r>
      <w:r w:rsidR="009B704E">
        <w:rPr>
          <w:rFonts w:ascii="Times New Roman" w:hAnsi="Times New Roman"/>
          <w:lang w:val="en-US"/>
        </w:rPr>
        <w:t xml:space="preserve">, </w:t>
      </w:r>
      <w:r w:rsidR="009B704E" w:rsidRPr="009B704E">
        <w:rPr>
          <w:rFonts w:ascii="Times New Roman" w:hAnsi="Times New Roman"/>
          <w:lang w:val="en-US"/>
        </w:rPr>
        <w:t>ASRI</w:t>
      </w:r>
      <w:r w:rsidR="009B704E">
        <w:rPr>
          <w:rFonts w:ascii="Times New Roman" w:hAnsi="Times New Roman"/>
          <w:lang w:val="en-US"/>
        </w:rPr>
        <w:t xml:space="preserve">, </w:t>
      </w:r>
      <w:r w:rsidR="009B704E" w:rsidRPr="009B704E">
        <w:rPr>
          <w:rFonts w:ascii="Times New Roman" w:hAnsi="Times New Roman"/>
          <w:lang w:val="en-US"/>
        </w:rPr>
        <w:t>CPIN</w:t>
      </w:r>
      <w:r w:rsidR="009B704E">
        <w:rPr>
          <w:rFonts w:ascii="Times New Roman" w:hAnsi="Times New Roman"/>
          <w:lang w:val="en-US"/>
        </w:rPr>
        <w:t xml:space="preserve">, </w:t>
      </w:r>
      <w:r w:rsidR="009B704E" w:rsidRPr="009B704E">
        <w:rPr>
          <w:rFonts w:ascii="Times New Roman" w:hAnsi="Times New Roman"/>
          <w:lang w:val="en-US"/>
        </w:rPr>
        <w:t>INTP</w:t>
      </w:r>
      <w:r w:rsidR="009B704E">
        <w:rPr>
          <w:rFonts w:ascii="Times New Roman" w:hAnsi="Times New Roman"/>
          <w:lang w:val="en-US"/>
        </w:rPr>
        <w:t xml:space="preserve">, </w:t>
      </w:r>
      <w:r w:rsidR="009B704E" w:rsidRPr="009B704E">
        <w:rPr>
          <w:rFonts w:ascii="Times New Roman" w:hAnsi="Times New Roman"/>
          <w:lang w:val="en-US"/>
        </w:rPr>
        <w:t>KLBF</w:t>
      </w:r>
      <w:r w:rsidR="009B704E">
        <w:rPr>
          <w:rFonts w:ascii="Times New Roman" w:hAnsi="Times New Roman"/>
          <w:lang w:val="en-US"/>
        </w:rPr>
        <w:t xml:space="preserve">, </w:t>
      </w:r>
      <w:r w:rsidR="009B704E" w:rsidRPr="009B704E">
        <w:rPr>
          <w:rFonts w:ascii="Times New Roman" w:hAnsi="Times New Roman"/>
          <w:lang w:val="en-US"/>
        </w:rPr>
        <w:t>LPKR</w:t>
      </w:r>
      <w:r w:rsidR="009B704E">
        <w:rPr>
          <w:rFonts w:ascii="Times New Roman" w:hAnsi="Times New Roman"/>
          <w:lang w:val="en-US"/>
        </w:rPr>
        <w:t xml:space="preserve">, </w:t>
      </w:r>
      <w:r w:rsidR="009B704E" w:rsidRPr="009B704E">
        <w:rPr>
          <w:rFonts w:ascii="Times New Roman" w:hAnsi="Times New Roman"/>
          <w:lang w:val="en-US"/>
        </w:rPr>
        <w:t>SMGR</w:t>
      </w:r>
      <w:r w:rsidR="009B704E">
        <w:rPr>
          <w:rFonts w:ascii="Times New Roman" w:hAnsi="Times New Roman"/>
          <w:lang w:val="en-US"/>
        </w:rPr>
        <w:t xml:space="preserve">, </w:t>
      </w:r>
      <w:r w:rsidR="009B704E" w:rsidRPr="009B704E">
        <w:rPr>
          <w:rFonts w:ascii="Times New Roman" w:hAnsi="Times New Roman"/>
          <w:lang w:val="en-US"/>
        </w:rPr>
        <w:t>TLKM</w:t>
      </w:r>
      <w:r w:rsidR="009B704E">
        <w:rPr>
          <w:rFonts w:ascii="Times New Roman" w:hAnsi="Times New Roman"/>
          <w:lang w:val="en-US"/>
        </w:rPr>
        <w:t xml:space="preserve">, </w:t>
      </w:r>
      <w:r w:rsidR="009B704E" w:rsidRPr="009B704E">
        <w:rPr>
          <w:rFonts w:ascii="Times New Roman" w:hAnsi="Times New Roman"/>
          <w:lang w:val="en-US"/>
        </w:rPr>
        <w:t>UNVR</w:t>
      </w:r>
      <w:r w:rsidR="009B704E">
        <w:rPr>
          <w:rFonts w:ascii="Times New Roman" w:hAnsi="Times New Roman"/>
          <w:lang w:val="en-US"/>
        </w:rPr>
        <w:t xml:space="preserve"> yang akan memberikan keuntungan 0.088% setiap harinya dengan resiko kerugiaan terbesar 2.8671%. </w:t>
      </w:r>
      <w:proofErr w:type="gramStart"/>
      <w:r w:rsidR="009B704E">
        <w:rPr>
          <w:rFonts w:ascii="Times New Roman" w:hAnsi="Times New Roman"/>
          <w:lang w:val="en-US"/>
        </w:rPr>
        <w:t>Namun pada periode Juli-Agustus 2013, portofolio ini mengalami kerugian sebesar 0.37%.</w:t>
      </w:r>
      <w:proofErr w:type="gramEnd"/>
      <w:r w:rsidR="009B704E">
        <w:rPr>
          <w:rFonts w:ascii="Times New Roman" w:hAnsi="Times New Roman"/>
          <w:lang w:val="en-US"/>
        </w:rPr>
        <w:t xml:space="preserve"> </w:t>
      </w:r>
      <w:proofErr w:type="gramStart"/>
      <w:r w:rsidR="009B704E">
        <w:rPr>
          <w:rFonts w:ascii="Times New Roman" w:hAnsi="Times New Roman"/>
          <w:lang w:val="en-US"/>
        </w:rPr>
        <w:t>Hal ini disebabkan karenanya adanya krisis ekonomi global dan mempengaruhi sistem perekonomian Indonesia.</w:t>
      </w:r>
      <w:proofErr w:type="gramEnd"/>
    </w:p>
    <w:p w:rsidR="009B704E" w:rsidRDefault="009B704E" w:rsidP="009B704E">
      <w:pPr>
        <w:pStyle w:val="NoSpacing"/>
        <w:spacing w:line="276" w:lineRule="auto"/>
        <w:jc w:val="both"/>
        <w:rPr>
          <w:rFonts w:ascii="Times New Roman" w:hAnsi="Times New Roman"/>
          <w:lang w:val="en-US"/>
        </w:rPr>
      </w:pPr>
    </w:p>
    <w:p w:rsidR="009B704E" w:rsidRDefault="009B704E" w:rsidP="009B704E">
      <w:pPr>
        <w:pStyle w:val="NoSpacing"/>
        <w:spacing w:line="276" w:lineRule="auto"/>
        <w:jc w:val="both"/>
        <w:rPr>
          <w:rFonts w:ascii="Times New Roman" w:hAnsi="Times New Roman"/>
          <w:lang w:val="en-US"/>
        </w:rPr>
      </w:pPr>
    </w:p>
    <w:p w:rsidR="009B704E" w:rsidRPr="009B704E" w:rsidRDefault="009B704E" w:rsidP="009B704E">
      <w:pPr>
        <w:pStyle w:val="NoSpacing"/>
        <w:spacing w:line="276" w:lineRule="auto"/>
        <w:jc w:val="both"/>
        <w:rPr>
          <w:rFonts w:ascii="Times New Roman" w:hAnsi="Times New Roman"/>
          <w:lang w:val="en-US"/>
        </w:rPr>
      </w:pPr>
      <w:r w:rsidRPr="009B704E">
        <w:rPr>
          <w:rFonts w:ascii="Times New Roman" w:hAnsi="Times New Roman"/>
          <w:b/>
          <w:lang w:val="en-US"/>
        </w:rPr>
        <w:t>Kata Kunci</w:t>
      </w:r>
      <w:r>
        <w:rPr>
          <w:rFonts w:ascii="Times New Roman" w:hAnsi="Times New Roman"/>
          <w:lang w:val="en-US"/>
        </w:rPr>
        <w:t>: CAPM, Portofolio Optimum, Saham Syariah, VaR</w:t>
      </w:r>
    </w:p>
    <w:p w:rsidR="000726FA" w:rsidRDefault="000726FA" w:rsidP="000726FA">
      <w:pPr>
        <w:pStyle w:val="NoSpacing"/>
        <w:jc w:val="center"/>
        <w:rPr>
          <w:rFonts w:ascii="Times New Roman" w:hAnsi="Times New Roman"/>
          <w:lang w:val="en-US"/>
        </w:rPr>
      </w:pPr>
    </w:p>
    <w:p w:rsidR="000726FA" w:rsidRDefault="000726FA" w:rsidP="000726FA">
      <w:pPr>
        <w:pStyle w:val="NoSpacing"/>
        <w:jc w:val="center"/>
        <w:rPr>
          <w:rFonts w:ascii="Times New Roman" w:hAnsi="Times New Roman"/>
          <w:lang w:val="en-US"/>
        </w:rPr>
      </w:pPr>
    </w:p>
    <w:p w:rsidR="000726FA" w:rsidRDefault="000726FA" w:rsidP="000726FA">
      <w:pPr>
        <w:pStyle w:val="NoSpacing"/>
        <w:jc w:val="center"/>
        <w:rPr>
          <w:rFonts w:ascii="Times New Roman" w:hAnsi="Times New Roman"/>
          <w:lang w:val="en-US"/>
        </w:rPr>
      </w:pPr>
    </w:p>
    <w:p w:rsidR="000726FA" w:rsidRDefault="000726FA" w:rsidP="000726FA">
      <w:pPr>
        <w:pStyle w:val="NoSpacing"/>
        <w:jc w:val="center"/>
        <w:rPr>
          <w:rFonts w:ascii="Times New Roman" w:hAnsi="Times New Roman"/>
          <w:lang w:val="en-US"/>
        </w:rPr>
      </w:pPr>
    </w:p>
    <w:p w:rsidR="000726FA" w:rsidRPr="000726FA" w:rsidRDefault="000726FA" w:rsidP="000726FA">
      <w:pPr>
        <w:pStyle w:val="NoSpacing"/>
        <w:jc w:val="center"/>
        <w:rPr>
          <w:rFonts w:ascii="Times New Roman" w:hAnsi="Times New Roman"/>
          <w:lang w:val="en-US"/>
        </w:rPr>
      </w:pPr>
    </w:p>
    <w:p w:rsidR="000726FA" w:rsidRDefault="000726FA" w:rsidP="0036257B">
      <w:pPr>
        <w:pStyle w:val="NoSpacing"/>
        <w:spacing w:line="480" w:lineRule="auto"/>
        <w:jc w:val="both"/>
        <w:rPr>
          <w:rFonts w:ascii="Times New Roman" w:hAnsi="Times New Roman"/>
          <w:b/>
          <w:sz w:val="24"/>
          <w:szCs w:val="24"/>
          <w:lang w:val="en-US"/>
        </w:rPr>
        <w:sectPr w:rsidR="000726FA" w:rsidSect="0036257B">
          <w:pgSz w:w="11906" w:h="16838" w:code="9"/>
          <w:pgMar w:top="2268" w:right="1701" w:bottom="1701" w:left="2268" w:header="706" w:footer="706" w:gutter="0"/>
          <w:cols w:space="708"/>
          <w:docGrid w:linePitch="360"/>
        </w:sectPr>
      </w:pPr>
    </w:p>
    <w:p w:rsidR="00C54AC3" w:rsidRPr="000726FA" w:rsidRDefault="0036257B" w:rsidP="0036257B">
      <w:pPr>
        <w:pStyle w:val="NoSpacing"/>
        <w:spacing w:line="480" w:lineRule="auto"/>
        <w:jc w:val="both"/>
        <w:rPr>
          <w:rFonts w:ascii="Times New Roman" w:hAnsi="Times New Roman"/>
          <w:b/>
          <w:sz w:val="24"/>
          <w:szCs w:val="24"/>
          <w:lang w:val="en-US"/>
        </w:rPr>
      </w:pPr>
      <w:r>
        <w:rPr>
          <w:rFonts w:ascii="Times New Roman" w:hAnsi="Times New Roman"/>
          <w:b/>
          <w:sz w:val="24"/>
          <w:szCs w:val="24"/>
          <w:lang w:val="en-US"/>
        </w:rPr>
        <w:lastRenderedPageBreak/>
        <w:t>1</w:t>
      </w:r>
      <w:r w:rsidR="00C54AC3" w:rsidRPr="006F6DEE">
        <w:rPr>
          <w:rFonts w:ascii="Times New Roman" w:hAnsi="Times New Roman"/>
          <w:b/>
          <w:sz w:val="24"/>
          <w:szCs w:val="24"/>
        </w:rPr>
        <w:t xml:space="preserve">. </w:t>
      </w:r>
      <w:r w:rsidR="000726FA">
        <w:rPr>
          <w:rFonts w:ascii="Times New Roman" w:hAnsi="Times New Roman"/>
          <w:b/>
          <w:sz w:val="24"/>
          <w:szCs w:val="24"/>
          <w:lang w:val="en-US"/>
        </w:rPr>
        <w:t>PENDAHULUAN</w:t>
      </w:r>
    </w:p>
    <w:p w:rsidR="00482B44" w:rsidRPr="00482B44" w:rsidRDefault="00035689" w:rsidP="000726FA">
      <w:pPr>
        <w:pStyle w:val="NoSpacing"/>
        <w:spacing w:line="480" w:lineRule="auto"/>
        <w:ind w:firstLine="720"/>
        <w:jc w:val="both"/>
        <w:rPr>
          <w:rFonts w:ascii="Times New Roman" w:hAnsi="Times New Roman"/>
          <w:sz w:val="24"/>
          <w:szCs w:val="24"/>
          <w:lang w:val="en-US"/>
        </w:rPr>
      </w:pPr>
      <w:r w:rsidRPr="00482B44">
        <w:rPr>
          <w:rFonts w:ascii="Times New Roman" w:hAnsi="Times New Roman"/>
          <w:sz w:val="24"/>
          <w:szCs w:val="24"/>
          <w:lang w:eastAsia="id-ID"/>
        </w:rPr>
        <w:t>Investasi menurut Islam merupakan kegiatan muamalah yang sangat dianjurkan, karena dengan berinvestasi, harta atau aset yang dimiliki oleh seseorang menjadi produktif sehingga mampu mendatangkan manfaat bagi dirinya dan orang lain, dengan syarat penerapannya berpedoman pada prinsip-prinsip syariah.</w:t>
      </w:r>
      <w:r w:rsidR="00482B44">
        <w:rPr>
          <w:rFonts w:ascii="Times New Roman" w:hAnsi="Times New Roman"/>
          <w:sz w:val="24"/>
          <w:szCs w:val="24"/>
          <w:lang w:val="en-US" w:eastAsia="id-ID"/>
        </w:rPr>
        <w:t xml:space="preserve"> </w:t>
      </w:r>
    </w:p>
    <w:p w:rsidR="00F53EA5" w:rsidRDefault="00035689" w:rsidP="0036257B">
      <w:pPr>
        <w:pStyle w:val="NoSpacing"/>
        <w:spacing w:line="480" w:lineRule="auto"/>
        <w:ind w:firstLine="720"/>
        <w:jc w:val="both"/>
        <w:rPr>
          <w:rFonts w:ascii="Times New Roman" w:eastAsia="Times New Roman" w:hAnsi="Times New Roman"/>
          <w:sz w:val="24"/>
          <w:szCs w:val="24"/>
          <w:lang w:val="en-US" w:eastAsia="id-ID"/>
        </w:rPr>
      </w:pPr>
      <w:r w:rsidRPr="006F6DEE">
        <w:rPr>
          <w:rFonts w:ascii="Times New Roman" w:hAnsi="Times New Roman"/>
          <w:sz w:val="24"/>
          <w:szCs w:val="24"/>
        </w:rPr>
        <w:t xml:space="preserve"> </w:t>
      </w:r>
      <w:proofErr w:type="gramStart"/>
      <w:r w:rsidR="00432D71">
        <w:rPr>
          <w:rFonts w:ascii="Times New Roman" w:hAnsi="Times New Roman"/>
          <w:sz w:val="24"/>
          <w:szCs w:val="24"/>
          <w:lang w:val="en-US"/>
        </w:rPr>
        <w:t>Secara umum investasi dapat dibedakan menj</w:t>
      </w:r>
      <w:r w:rsidR="007E14EE">
        <w:rPr>
          <w:rFonts w:ascii="Times New Roman" w:hAnsi="Times New Roman"/>
          <w:sz w:val="24"/>
          <w:szCs w:val="24"/>
          <w:lang w:val="en-US"/>
        </w:rPr>
        <w:t>adi 2 (dua), yaitu investasi sek</w:t>
      </w:r>
      <w:r w:rsidR="00432D71">
        <w:rPr>
          <w:rFonts w:ascii="Times New Roman" w:hAnsi="Times New Roman"/>
          <w:sz w:val="24"/>
          <w:szCs w:val="24"/>
          <w:lang w:val="en-US"/>
        </w:rPr>
        <w:t>tor real dan investasi sektor finansial.</w:t>
      </w:r>
      <w:proofErr w:type="gramEnd"/>
      <w:r w:rsidR="00432D71">
        <w:rPr>
          <w:rFonts w:ascii="Times New Roman" w:hAnsi="Times New Roman"/>
          <w:sz w:val="24"/>
          <w:szCs w:val="24"/>
          <w:lang w:val="en-US"/>
        </w:rPr>
        <w:t xml:space="preserve"> </w:t>
      </w:r>
      <w:r w:rsidRPr="006F6DEE">
        <w:rPr>
          <w:rFonts w:ascii="Times New Roman" w:hAnsi="Times New Roman"/>
          <w:sz w:val="24"/>
          <w:szCs w:val="24"/>
        </w:rPr>
        <w:t xml:space="preserve">Salah satu bentuk investasi sektor finansial yang marak seiring makin berkembangnya perdagangan global dan  majunya teknologi informasi adalah investasi saham di pasar modal. </w:t>
      </w:r>
      <w:r w:rsidRPr="006F6DEE">
        <w:rPr>
          <w:rFonts w:ascii="Times New Roman" w:hAnsi="Times New Roman"/>
          <w:sz w:val="24"/>
          <w:szCs w:val="24"/>
          <w:lang w:eastAsia="id-ID"/>
        </w:rPr>
        <w:t>N</w:t>
      </w:r>
      <w:r w:rsidRPr="006F6DEE">
        <w:rPr>
          <w:rFonts w:ascii="Times New Roman" w:hAnsi="Times New Roman"/>
          <w:sz w:val="24"/>
          <w:szCs w:val="24"/>
          <w:lang w:val="sv-SE"/>
        </w:rPr>
        <w:t>egara yang pertama kali mengimplementasikan prinsip syariah di sektor pasar modal adalah Jordan pada tahun 1978 dan Pakistan pada tahun 1980</w:t>
      </w:r>
      <w:r w:rsidRPr="006F6DEE">
        <w:rPr>
          <w:rFonts w:ascii="Times New Roman" w:hAnsi="Times New Roman"/>
          <w:sz w:val="24"/>
          <w:szCs w:val="24"/>
        </w:rPr>
        <w:t xml:space="preserve">. Di Indonesia, PT. </w:t>
      </w:r>
      <w:r w:rsidRPr="006F6DEE">
        <w:rPr>
          <w:rFonts w:ascii="Times New Roman" w:eastAsia="Times New Roman" w:hAnsi="Times New Roman"/>
          <w:sz w:val="24"/>
          <w:szCs w:val="24"/>
          <w:lang w:eastAsia="id-ID"/>
        </w:rPr>
        <w:t xml:space="preserve">Bursa Efek Jakarta (BEJ) telah menerbitkan daftar reksadana, saham, dan obligasi syariah dalam </w:t>
      </w:r>
      <w:r w:rsidRPr="006F6DEE">
        <w:rPr>
          <w:rFonts w:ascii="Times New Roman" w:eastAsia="Times New Roman" w:hAnsi="Times New Roman"/>
          <w:i/>
          <w:sz w:val="24"/>
          <w:szCs w:val="24"/>
          <w:lang w:eastAsia="id-ID"/>
        </w:rPr>
        <w:t>Jakarta Islamic Index</w:t>
      </w:r>
      <w:r w:rsidRPr="006F6DEE">
        <w:rPr>
          <w:rFonts w:ascii="Times New Roman" w:eastAsia="Times New Roman" w:hAnsi="Times New Roman"/>
          <w:sz w:val="24"/>
          <w:szCs w:val="24"/>
          <w:lang w:eastAsia="id-ID"/>
        </w:rPr>
        <w:t xml:space="preserve"> (JII) pada 3 Juli 2000 lalu</w:t>
      </w:r>
      <w:r w:rsidRPr="006F6DEE">
        <w:rPr>
          <w:rFonts w:ascii="Times New Roman" w:hAnsi="Times New Roman"/>
          <w:sz w:val="24"/>
          <w:szCs w:val="24"/>
        </w:rPr>
        <w:t xml:space="preserve">. Kemudian,  pada tanggal 14 dan 15 Maret 2003 dengan ditandatanganinya nota kesepahaman antara BAPEPAM dengan Dewan Syariah Nasional - Majelis Ulama Indonesia (DSN-MUI) tentang prinsip pasar modal syariah. Sejak itu, </w:t>
      </w:r>
      <w:r w:rsidRPr="006F6DEE">
        <w:rPr>
          <w:rFonts w:ascii="Times New Roman" w:eastAsia="Times New Roman" w:hAnsi="Times New Roman"/>
          <w:sz w:val="24"/>
          <w:szCs w:val="24"/>
          <w:lang w:eastAsia="id-ID"/>
        </w:rPr>
        <w:t xml:space="preserve">pasar modal syariah mengalami perkembangan cukup signifikan. </w:t>
      </w:r>
    </w:p>
    <w:p w:rsidR="000726FA" w:rsidRDefault="000726FA" w:rsidP="000726FA">
      <w:pPr>
        <w:pStyle w:val="NoSpacing"/>
        <w:spacing w:line="480" w:lineRule="auto"/>
        <w:ind w:firstLine="720"/>
        <w:jc w:val="both"/>
        <w:rPr>
          <w:rFonts w:ascii="Times New Roman" w:hAnsi="Times New Roman"/>
          <w:sz w:val="24"/>
          <w:szCs w:val="24"/>
          <w:lang w:val="en-US"/>
        </w:rPr>
      </w:pPr>
      <w:r w:rsidRPr="00F53EA5">
        <w:rPr>
          <w:rFonts w:ascii="Times New Roman" w:hAnsi="Times New Roman"/>
          <w:sz w:val="24"/>
          <w:szCs w:val="24"/>
          <w:lang w:val="en-US"/>
        </w:rPr>
        <w:t xml:space="preserve">Selama 5 (lima) tahun terakhir, kapitalisasi saham yang tergabung dalam JII mencapai Rp. 429 triliun dan meningkat hampir </w:t>
      </w:r>
      <w:r>
        <w:rPr>
          <w:rFonts w:ascii="Times New Roman" w:hAnsi="Times New Roman"/>
          <w:sz w:val="24"/>
          <w:szCs w:val="24"/>
          <w:lang w:val="en-US"/>
        </w:rPr>
        <w:t>4 kali lipat</w:t>
      </w:r>
      <w:r w:rsidRPr="00F53EA5">
        <w:rPr>
          <w:rFonts w:ascii="Times New Roman" w:hAnsi="Times New Roman"/>
          <w:sz w:val="24"/>
          <w:szCs w:val="24"/>
          <w:lang w:val="en-US"/>
        </w:rPr>
        <w:t xml:space="preserve"> menjadi Rp. 1671 triliun pada tahun 2012</w:t>
      </w:r>
      <w:r>
        <w:rPr>
          <w:rFonts w:ascii="Times New Roman" w:hAnsi="Times New Roman"/>
          <w:sz w:val="24"/>
          <w:szCs w:val="24"/>
          <w:lang w:val="en-US"/>
        </w:rPr>
        <w:t xml:space="preserve"> (Gambar 1)</w:t>
      </w:r>
      <w:r w:rsidRPr="00F53EA5">
        <w:rPr>
          <w:rFonts w:ascii="Times New Roman" w:hAnsi="Times New Roman"/>
          <w:sz w:val="24"/>
          <w:szCs w:val="24"/>
          <w:lang w:val="en-US"/>
        </w:rPr>
        <w:t xml:space="preserve">. Dan jumlah emitem saham syariah meningkat lebih dari 64%, yaitu 195 emitem saham pada tahun 2008 menjadi 320 </w:t>
      </w:r>
      <w:r>
        <w:rPr>
          <w:rFonts w:ascii="Times New Roman" w:hAnsi="Times New Roman"/>
          <w:sz w:val="24"/>
          <w:szCs w:val="24"/>
          <w:lang w:val="en-US"/>
        </w:rPr>
        <w:t xml:space="preserve">emitem </w:t>
      </w:r>
      <w:r w:rsidRPr="00F53EA5">
        <w:rPr>
          <w:rFonts w:ascii="Times New Roman" w:hAnsi="Times New Roman"/>
          <w:sz w:val="24"/>
          <w:szCs w:val="24"/>
          <w:lang w:val="en-US"/>
        </w:rPr>
        <w:t>pada tahun 2012</w:t>
      </w:r>
      <w:r w:rsidR="00416CC1">
        <w:rPr>
          <w:rFonts w:ascii="Times New Roman" w:hAnsi="Times New Roman"/>
          <w:sz w:val="24"/>
          <w:szCs w:val="24"/>
          <w:lang w:val="en-US"/>
        </w:rPr>
        <w:t xml:space="preserve"> </w:t>
      </w:r>
      <w:r w:rsidRPr="00F53EA5">
        <w:rPr>
          <w:rFonts w:ascii="Times New Roman" w:hAnsi="Times New Roman"/>
          <w:sz w:val="24"/>
          <w:szCs w:val="24"/>
          <w:lang w:val="en-US"/>
        </w:rPr>
        <w:t>(BEI, 2013)</w:t>
      </w:r>
      <w:r>
        <w:rPr>
          <w:rFonts w:ascii="Times New Roman" w:hAnsi="Times New Roman"/>
          <w:sz w:val="24"/>
          <w:szCs w:val="24"/>
          <w:lang w:val="en-US"/>
        </w:rPr>
        <w:t xml:space="preserve">. </w:t>
      </w:r>
      <w:proofErr w:type="gramStart"/>
      <w:r>
        <w:rPr>
          <w:rFonts w:ascii="Times New Roman" w:hAnsi="Times New Roman"/>
          <w:sz w:val="24"/>
          <w:szCs w:val="24"/>
          <w:lang w:val="en-US"/>
        </w:rPr>
        <w:t>Hal tersebut menunjukan bahwa investasi saham syariah menunjukan potensi pengembangan dari tahun ke tahun.</w:t>
      </w:r>
      <w:proofErr w:type="gramEnd"/>
    </w:p>
    <w:p w:rsidR="000726FA" w:rsidRPr="000726FA" w:rsidRDefault="000726FA" w:rsidP="0036257B">
      <w:pPr>
        <w:pStyle w:val="NoSpacing"/>
        <w:spacing w:line="480" w:lineRule="auto"/>
        <w:ind w:firstLine="720"/>
        <w:jc w:val="both"/>
        <w:rPr>
          <w:rFonts w:ascii="Times New Roman" w:eastAsia="Times New Roman" w:hAnsi="Times New Roman"/>
          <w:sz w:val="24"/>
          <w:szCs w:val="24"/>
          <w:lang w:val="en-US" w:eastAsia="id-ID"/>
        </w:rPr>
      </w:pPr>
    </w:p>
    <w:p w:rsidR="00F53EA5" w:rsidRPr="00777278" w:rsidRDefault="00F53EA5" w:rsidP="0036257B">
      <w:pPr>
        <w:pStyle w:val="NoSpacing"/>
        <w:spacing w:line="480" w:lineRule="auto"/>
        <w:ind w:firstLine="720"/>
        <w:jc w:val="both"/>
        <w:rPr>
          <w:rFonts w:ascii="Times New Roman" w:eastAsia="Times New Roman" w:hAnsi="Times New Roman"/>
          <w:color w:val="FF0000"/>
          <w:sz w:val="24"/>
          <w:szCs w:val="24"/>
          <w:lang w:val="en-US" w:eastAsia="id-ID"/>
        </w:rPr>
      </w:pPr>
      <w:r w:rsidRPr="007B476E">
        <w:rPr>
          <w:rFonts w:ascii="Times New Roman" w:eastAsia="Times New Roman" w:hAnsi="Times New Roman"/>
          <w:noProof/>
          <w:color w:val="FF0000"/>
          <w:sz w:val="24"/>
          <w:szCs w:val="24"/>
          <w:lang w:val="en-US"/>
        </w:rPr>
        <w:drawing>
          <wp:inline distT="0" distB="0" distL="0" distR="0">
            <wp:extent cx="4146550" cy="2095500"/>
            <wp:effectExtent l="19050" t="0" r="2540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16CC1" w:rsidRDefault="00F53EA5" w:rsidP="00321244">
      <w:pPr>
        <w:pStyle w:val="NoSpacing"/>
        <w:spacing w:line="480" w:lineRule="auto"/>
        <w:jc w:val="center"/>
        <w:rPr>
          <w:rFonts w:ascii="Times New Roman" w:hAnsi="Times New Roman"/>
          <w:sz w:val="24"/>
          <w:szCs w:val="24"/>
          <w:lang w:val="en-US"/>
        </w:rPr>
      </w:pPr>
      <w:r>
        <w:rPr>
          <w:rFonts w:ascii="Times New Roman" w:hAnsi="Times New Roman"/>
          <w:sz w:val="24"/>
          <w:szCs w:val="24"/>
          <w:lang w:val="en-US"/>
        </w:rPr>
        <w:t>Gambar 1 Kapitalisasi Saham JII Tahun 2008 - 2012</w:t>
      </w:r>
    </w:p>
    <w:p w:rsidR="00CC45B9" w:rsidRPr="0021420F" w:rsidRDefault="006A6577" w:rsidP="00321244">
      <w:pPr>
        <w:pStyle w:val="NoSpacing"/>
        <w:spacing w:line="360" w:lineRule="auto"/>
        <w:ind w:firstLine="720"/>
        <w:jc w:val="both"/>
        <w:rPr>
          <w:rFonts w:ascii="Times New Roman" w:hAnsi="Times New Roman"/>
          <w:sz w:val="24"/>
          <w:szCs w:val="24"/>
          <w:lang w:val="en-US"/>
        </w:rPr>
      </w:pPr>
      <w:proofErr w:type="gramStart"/>
      <w:r w:rsidRPr="002A40EB">
        <w:rPr>
          <w:rFonts w:ascii="Times New Roman" w:hAnsi="Times New Roman"/>
          <w:sz w:val="24"/>
          <w:szCs w:val="24"/>
          <w:lang w:val="en-US"/>
        </w:rPr>
        <w:t xml:space="preserve">Seperti sifat investasi pada umumnya, </w:t>
      </w:r>
      <w:r w:rsidRPr="002A40EB">
        <w:rPr>
          <w:rFonts w:ascii="Times New Roman" w:hAnsi="Times New Roman"/>
          <w:sz w:val="24"/>
          <w:szCs w:val="24"/>
        </w:rPr>
        <w:t>terdapat 2 (dua) hal mendasar yang selalu menyertai</w:t>
      </w:r>
      <w:r w:rsidRPr="002A40EB">
        <w:rPr>
          <w:rFonts w:ascii="Times New Roman" w:hAnsi="Times New Roman"/>
          <w:sz w:val="24"/>
          <w:szCs w:val="24"/>
          <w:lang w:val="en-US"/>
        </w:rPr>
        <w:t xml:space="preserve"> suatu investasi</w:t>
      </w:r>
      <w:r w:rsidR="00935583">
        <w:rPr>
          <w:rFonts w:ascii="Times New Roman" w:hAnsi="Times New Roman"/>
          <w:sz w:val="24"/>
          <w:szCs w:val="24"/>
          <w:lang w:val="en-US"/>
        </w:rPr>
        <w:t xml:space="preserve"> saham syariah</w:t>
      </w:r>
      <w:r w:rsidRPr="002A40EB">
        <w:rPr>
          <w:rFonts w:ascii="Times New Roman" w:hAnsi="Times New Roman"/>
          <w:sz w:val="24"/>
          <w:szCs w:val="24"/>
        </w:rPr>
        <w:t>, yaitu tingkat keuntungan (</w:t>
      </w:r>
      <w:r w:rsidRPr="002A40EB">
        <w:rPr>
          <w:rFonts w:ascii="Times New Roman" w:hAnsi="Times New Roman"/>
          <w:i/>
          <w:sz w:val="24"/>
          <w:szCs w:val="24"/>
        </w:rPr>
        <w:t>return</w:t>
      </w:r>
      <w:r w:rsidRPr="002A40EB">
        <w:rPr>
          <w:rFonts w:ascii="Times New Roman" w:hAnsi="Times New Roman"/>
          <w:sz w:val="24"/>
          <w:szCs w:val="24"/>
        </w:rPr>
        <w:t>) dan risiko (</w:t>
      </w:r>
      <w:r w:rsidRPr="002A40EB">
        <w:rPr>
          <w:rFonts w:ascii="Times New Roman" w:hAnsi="Times New Roman"/>
          <w:i/>
          <w:sz w:val="24"/>
          <w:szCs w:val="24"/>
        </w:rPr>
        <w:t>risk</w:t>
      </w:r>
      <w:r w:rsidRPr="002A40EB">
        <w:rPr>
          <w:rFonts w:ascii="Times New Roman" w:hAnsi="Times New Roman"/>
          <w:sz w:val="24"/>
          <w:szCs w:val="24"/>
        </w:rPr>
        <w:t>).</w:t>
      </w:r>
      <w:proofErr w:type="gramEnd"/>
      <w:r w:rsidRPr="002A40EB">
        <w:rPr>
          <w:rFonts w:ascii="Times New Roman" w:hAnsi="Times New Roman"/>
          <w:sz w:val="24"/>
          <w:szCs w:val="24"/>
          <w:lang w:val="en-US"/>
        </w:rPr>
        <w:t xml:space="preserve"> </w:t>
      </w:r>
      <w:r w:rsidRPr="002A40EB">
        <w:rPr>
          <w:rFonts w:ascii="Times New Roman" w:hAnsi="Times New Roman"/>
          <w:i/>
          <w:sz w:val="24"/>
          <w:szCs w:val="24"/>
        </w:rPr>
        <w:t xml:space="preserve">Return </w:t>
      </w:r>
      <w:r w:rsidRPr="002A40EB">
        <w:rPr>
          <w:rFonts w:ascii="Times New Roman" w:hAnsi="Times New Roman"/>
          <w:sz w:val="24"/>
          <w:szCs w:val="24"/>
        </w:rPr>
        <w:t xml:space="preserve">dan risiko mempunyai hubungan yang kuat dan linear (Fahmi dan Hadi, 2009), yaitu jika risiko tinggi maka </w:t>
      </w:r>
      <w:r w:rsidRPr="002A40EB">
        <w:rPr>
          <w:rFonts w:ascii="Times New Roman" w:hAnsi="Times New Roman"/>
          <w:i/>
          <w:sz w:val="24"/>
          <w:szCs w:val="24"/>
        </w:rPr>
        <w:t>return</w:t>
      </w:r>
      <w:r w:rsidRPr="002A40EB">
        <w:rPr>
          <w:rFonts w:ascii="Times New Roman" w:hAnsi="Times New Roman"/>
          <w:sz w:val="24"/>
          <w:szCs w:val="24"/>
        </w:rPr>
        <w:t xml:space="preserve"> juga akan tinggi, atau sebaliknya jika </w:t>
      </w:r>
      <w:r w:rsidRPr="002A40EB">
        <w:rPr>
          <w:rFonts w:ascii="Times New Roman" w:hAnsi="Times New Roman"/>
          <w:i/>
          <w:sz w:val="24"/>
          <w:szCs w:val="24"/>
        </w:rPr>
        <w:t>return</w:t>
      </w:r>
      <w:r w:rsidRPr="002A40EB">
        <w:rPr>
          <w:rFonts w:ascii="Times New Roman" w:hAnsi="Times New Roman"/>
          <w:sz w:val="24"/>
          <w:szCs w:val="24"/>
        </w:rPr>
        <w:t xml:space="preserve"> rendah maka risikonya juga akan rendah. </w:t>
      </w:r>
      <w:proofErr w:type="gramStart"/>
      <w:r w:rsidRPr="002A40EB">
        <w:rPr>
          <w:rFonts w:ascii="Times New Roman" w:hAnsi="Times New Roman"/>
          <w:sz w:val="24"/>
          <w:szCs w:val="24"/>
          <w:lang w:val="en-US"/>
        </w:rPr>
        <w:t>I</w:t>
      </w:r>
      <w:r w:rsidRPr="002A40EB">
        <w:rPr>
          <w:rFonts w:ascii="Times New Roman" w:hAnsi="Times New Roman"/>
          <w:sz w:val="24"/>
          <w:szCs w:val="24"/>
        </w:rPr>
        <w:t xml:space="preserve">nvestasi saham pada pasar modal </w:t>
      </w:r>
      <w:r w:rsidRPr="002A40EB">
        <w:rPr>
          <w:rFonts w:ascii="Times New Roman" w:hAnsi="Times New Roman"/>
          <w:sz w:val="24"/>
          <w:szCs w:val="24"/>
          <w:lang w:val="en-US"/>
        </w:rPr>
        <w:t xml:space="preserve">merupakan </w:t>
      </w:r>
      <w:r w:rsidRPr="002A40EB">
        <w:rPr>
          <w:rFonts w:ascii="Times New Roman" w:hAnsi="Times New Roman"/>
          <w:sz w:val="24"/>
          <w:szCs w:val="24"/>
        </w:rPr>
        <w:t>investasi yang memilki risiko tinggi tetapi memiliki tingkat keuntungan yang tinggi pula (</w:t>
      </w:r>
      <w:r w:rsidRPr="002A40EB">
        <w:rPr>
          <w:rFonts w:ascii="Times New Roman" w:hAnsi="Times New Roman"/>
          <w:i/>
          <w:sz w:val="24"/>
          <w:szCs w:val="24"/>
        </w:rPr>
        <w:t>high risk-high return</w:t>
      </w:r>
      <w:r w:rsidRPr="002A40EB">
        <w:rPr>
          <w:rFonts w:ascii="Times New Roman" w:hAnsi="Times New Roman"/>
          <w:sz w:val="24"/>
          <w:szCs w:val="24"/>
        </w:rPr>
        <w:t>)</w:t>
      </w:r>
      <w:r w:rsidRPr="002A40EB">
        <w:rPr>
          <w:rFonts w:ascii="Times New Roman" w:hAnsi="Times New Roman"/>
          <w:sz w:val="24"/>
          <w:szCs w:val="24"/>
          <w:lang w:val="en-US"/>
        </w:rPr>
        <w:t>.</w:t>
      </w:r>
      <w:proofErr w:type="gramEnd"/>
      <w:r w:rsidRPr="002A40EB">
        <w:rPr>
          <w:rFonts w:ascii="Times New Roman" w:hAnsi="Times New Roman"/>
          <w:sz w:val="24"/>
          <w:szCs w:val="24"/>
          <w:lang w:val="en-US"/>
        </w:rPr>
        <w:t xml:space="preserve"> </w:t>
      </w:r>
      <w:r w:rsidRPr="002A40EB">
        <w:rPr>
          <w:rFonts w:ascii="Times New Roman" w:hAnsi="Times New Roman"/>
          <w:sz w:val="24"/>
          <w:szCs w:val="24"/>
        </w:rPr>
        <w:t xml:space="preserve">Jika tidak </w:t>
      </w:r>
      <w:r w:rsidRPr="002A40EB">
        <w:rPr>
          <w:rFonts w:ascii="Times New Roman" w:hAnsi="Times New Roman"/>
          <w:sz w:val="24"/>
          <w:szCs w:val="24"/>
          <w:lang w:val="en-US"/>
        </w:rPr>
        <w:t>ber</w:t>
      </w:r>
      <w:r w:rsidRPr="002A40EB">
        <w:rPr>
          <w:rFonts w:ascii="Times New Roman" w:hAnsi="Times New Roman"/>
          <w:sz w:val="24"/>
          <w:szCs w:val="24"/>
        </w:rPr>
        <w:t>hati-hati, investasi di bursa saham memungkinkan terjadinya kebangkrutan suatu perusahaan, sehingga untuk mencegah masalah tersebut perlu adanya manajemen risiko</w:t>
      </w:r>
      <w:r w:rsidRPr="002A40EB">
        <w:rPr>
          <w:rFonts w:ascii="Times New Roman" w:hAnsi="Times New Roman"/>
          <w:sz w:val="24"/>
          <w:szCs w:val="24"/>
          <w:lang w:val="en-US"/>
        </w:rPr>
        <w:t>.</w:t>
      </w:r>
    </w:p>
    <w:p w:rsidR="006A6577" w:rsidRPr="0021420F" w:rsidRDefault="006A6577" w:rsidP="0036257B">
      <w:pPr>
        <w:pStyle w:val="NoSpacing"/>
        <w:spacing w:line="480" w:lineRule="auto"/>
        <w:ind w:firstLine="720"/>
        <w:jc w:val="both"/>
        <w:rPr>
          <w:rFonts w:ascii="Times New Roman" w:hAnsi="Times New Roman"/>
          <w:sz w:val="24"/>
          <w:szCs w:val="24"/>
          <w:lang w:val="en-US"/>
        </w:rPr>
      </w:pPr>
      <w:r w:rsidRPr="0021420F">
        <w:rPr>
          <w:rFonts w:ascii="Times New Roman" w:hAnsi="Times New Roman"/>
          <w:sz w:val="24"/>
          <w:szCs w:val="24"/>
          <w:lang w:val="en-US"/>
        </w:rPr>
        <w:t>Contoh nyata,</w:t>
      </w:r>
      <w:r w:rsidRPr="0021420F">
        <w:rPr>
          <w:rFonts w:ascii="Times New Roman" w:hAnsi="Times New Roman"/>
          <w:sz w:val="24"/>
          <w:szCs w:val="24"/>
        </w:rPr>
        <w:t xml:space="preserve"> </w:t>
      </w:r>
      <w:r w:rsidRPr="0021420F">
        <w:rPr>
          <w:rFonts w:ascii="Times New Roman" w:hAnsi="Times New Roman"/>
          <w:sz w:val="24"/>
          <w:szCs w:val="24"/>
          <w:lang w:val="en-US"/>
        </w:rPr>
        <w:t>p</w:t>
      </w:r>
      <w:r w:rsidRPr="0021420F">
        <w:rPr>
          <w:rFonts w:ascii="Times New Roman" w:hAnsi="Times New Roman"/>
          <w:sz w:val="24"/>
          <w:szCs w:val="24"/>
        </w:rPr>
        <w:t xml:space="preserve">ada krisis keuangan global 2008 lalu yang berawal dari </w:t>
      </w:r>
      <w:r w:rsidRPr="0021420F">
        <w:rPr>
          <w:rFonts w:ascii="Times New Roman" w:hAnsi="Times New Roman"/>
          <w:sz w:val="24"/>
          <w:szCs w:val="24"/>
          <w:lang w:val="en-US"/>
        </w:rPr>
        <w:t xml:space="preserve">kesalahan dalam penyaluran kredit real estate yang berakibat terjadinya </w:t>
      </w:r>
      <w:r w:rsidRPr="0021420F">
        <w:rPr>
          <w:rFonts w:ascii="Times New Roman" w:hAnsi="Times New Roman"/>
          <w:sz w:val="24"/>
          <w:szCs w:val="24"/>
        </w:rPr>
        <w:t xml:space="preserve">kredit macet di Amerika Serikat (AS) berimbas pada </w:t>
      </w:r>
      <w:r w:rsidR="00CC45B9">
        <w:rPr>
          <w:rFonts w:ascii="Times New Roman" w:hAnsi="Times New Roman"/>
          <w:sz w:val="24"/>
          <w:szCs w:val="24"/>
          <w:lang w:val="en-US"/>
        </w:rPr>
        <w:t xml:space="preserve">krisis likuiditas perusahaan-perusahaan di dunia. </w:t>
      </w:r>
      <w:proofErr w:type="gramStart"/>
      <w:r w:rsidR="00CC45B9">
        <w:rPr>
          <w:rFonts w:ascii="Times New Roman" w:hAnsi="Times New Roman"/>
          <w:sz w:val="24"/>
          <w:szCs w:val="24"/>
          <w:lang w:val="en-US"/>
        </w:rPr>
        <w:t xml:space="preserve">Hal ini berdampak pada lesunya perekonomian dunia, yang ditandai dengan jatuhnya harga komoditas seperti minyak mentah, turunnya nilai ekspor, </w:t>
      </w:r>
      <w:r w:rsidRPr="0021420F">
        <w:rPr>
          <w:rFonts w:ascii="Times New Roman" w:hAnsi="Times New Roman"/>
          <w:sz w:val="24"/>
          <w:szCs w:val="24"/>
        </w:rPr>
        <w:t>anjloknya harga saham dan bangkrutnya beberapa perusahaan di dunia.</w:t>
      </w:r>
      <w:proofErr w:type="gramEnd"/>
      <w:r w:rsidRPr="0021420F">
        <w:rPr>
          <w:rFonts w:ascii="Times New Roman" w:hAnsi="Times New Roman"/>
          <w:sz w:val="24"/>
          <w:szCs w:val="24"/>
        </w:rPr>
        <w:t xml:space="preserve"> </w:t>
      </w:r>
      <w:r w:rsidRPr="0021420F">
        <w:rPr>
          <w:rFonts w:ascii="Times New Roman" w:hAnsi="Times New Roman"/>
          <w:i/>
          <w:sz w:val="24"/>
          <w:szCs w:val="24"/>
        </w:rPr>
        <w:t>Asian Development Outlook</w:t>
      </w:r>
      <w:r w:rsidRPr="0021420F">
        <w:rPr>
          <w:rFonts w:ascii="Times New Roman" w:hAnsi="Times New Roman"/>
          <w:sz w:val="24"/>
          <w:szCs w:val="24"/>
        </w:rPr>
        <w:t xml:space="preserve"> (2009)</w:t>
      </w:r>
      <w:r>
        <w:rPr>
          <w:rFonts w:ascii="Times New Roman" w:hAnsi="Times New Roman"/>
          <w:sz w:val="24"/>
          <w:szCs w:val="24"/>
        </w:rPr>
        <w:t xml:space="preserve"> mengungkapkan bahwa akibat kri</w:t>
      </w:r>
      <w:r>
        <w:rPr>
          <w:rFonts w:ascii="Times New Roman" w:hAnsi="Times New Roman"/>
          <w:sz w:val="24"/>
          <w:szCs w:val="24"/>
          <w:lang w:val="en-US"/>
        </w:rPr>
        <w:t>s</w:t>
      </w:r>
      <w:r w:rsidRPr="0021420F">
        <w:rPr>
          <w:rFonts w:ascii="Times New Roman" w:hAnsi="Times New Roman"/>
          <w:sz w:val="24"/>
          <w:szCs w:val="24"/>
        </w:rPr>
        <w:t xml:space="preserve">is tersebut pertumbuhan negara berkembang di Asia pada tahun 2009 merosot menjadi 3,4% </w:t>
      </w:r>
      <w:r w:rsidRPr="0021420F">
        <w:rPr>
          <w:rFonts w:ascii="Times New Roman" w:hAnsi="Times New Roman"/>
          <w:sz w:val="24"/>
          <w:szCs w:val="24"/>
        </w:rPr>
        <w:lastRenderedPageBreak/>
        <w:t xml:space="preserve">dibanding 6,5% pada tahun 2008 dan 9,5% pada tahun 2007.  </w:t>
      </w:r>
      <w:r w:rsidRPr="0021420F">
        <w:rPr>
          <w:rFonts w:ascii="Times New Roman" w:hAnsi="Times New Roman"/>
          <w:sz w:val="24"/>
          <w:szCs w:val="24"/>
          <w:lang w:val="en-US"/>
        </w:rPr>
        <w:t>S</w:t>
      </w:r>
      <w:r w:rsidRPr="0021420F">
        <w:rPr>
          <w:rFonts w:ascii="Times New Roman" w:hAnsi="Times New Roman"/>
          <w:sz w:val="24"/>
          <w:szCs w:val="24"/>
        </w:rPr>
        <w:t xml:space="preserve">alah satu dampak krisis 2008 </w:t>
      </w:r>
      <w:r w:rsidRPr="0021420F">
        <w:rPr>
          <w:rFonts w:ascii="Times New Roman" w:hAnsi="Times New Roman"/>
          <w:sz w:val="24"/>
          <w:szCs w:val="24"/>
          <w:lang w:val="en-US"/>
        </w:rPr>
        <w:t xml:space="preserve">di Indonesia </w:t>
      </w:r>
      <w:r w:rsidRPr="0021420F">
        <w:rPr>
          <w:rFonts w:ascii="Times New Roman" w:hAnsi="Times New Roman"/>
          <w:sz w:val="24"/>
          <w:szCs w:val="24"/>
        </w:rPr>
        <w:t>adalah ditetapkannya Bank Century sebagai Bank gagal oleh Komite Stabilitas Sektor Keuangan (KSSK) pada 20 November 2008. Kasus tersebut menunjukan pentingnya manajemen resiko dalam memilih suatu produk investasi</w:t>
      </w:r>
      <w:r w:rsidRPr="0021420F">
        <w:rPr>
          <w:rFonts w:ascii="Times New Roman" w:hAnsi="Times New Roman"/>
          <w:sz w:val="24"/>
          <w:szCs w:val="24"/>
          <w:lang w:val="en-US"/>
        </w:rPr>
        <w:t>.</w:t>
      </w:r>
    </w:p>
    <w:p w:rsidR="00416CC1" w:rsidRDefault="00326028" w:rsidP="0036257B">
      <w:pPr>
        <w:pStyle w:val="NoSpacing"/>
        <w:spacing w:line="480" w:lineRule="auto"/>
        <w:ind w:firstLine="720"/>
        <w:jc w:val="both"/>
        <w:rPr>
          <w:rFonts w:ascii="Times New Roman" w:hAnsi="Times New Roman"/>
          <w:sz w:val="24"/>
          <w:szCs w:val="24"/>
          <w:lang w:val="en-US"/>
        </w:rPr>
      </w:pPr>
      <w:r>
        <w:rPr>
          <w:rFonts w:ascii="Times New Roman" w:hAnsi="Times New Roman"/>
          <w:sz w:val="24"/>
          <w:szCs w:val="24"/>
          <w:lang w:val="en-US"/>
        </w:rPr>
        <w:t xml:space="preserve">Terdapat beberapa 4 (empat) </w:t>
      </w:r>
      <w:proofErr w:type="gramStart"/>
      <w:r>
        <w:rPr>
          <w:rFonts w:ascii="Times New Roman" w:hAnsi="Times New Roman"/>
          <w:sz w:val="24"/>
          <w:szCs w:val="24"/>
          <w:lang w:val="en-US"/>
        </w:rPr>
        <w:t>cara</w:t>
      </w:r>
      <w:proofErr w:type="gramEnd"/>
      <w:r w:rsidR="00432D71">
        <w:rPr>
          <w:rFonts w:ascii="Times New Roman" w:hAnsi="Times New Roman"/>
          <w:sz w:val="24"/>
          <w:szCs w:val="24"/>
          <w:lang w:val="en-US"/>
        </w:rPr>
        <w:t xml:space="preserve"> mengelola resiko, yaitu menerima resiko, menghindari resiko, mengendalikan resiko, dan mengalihkan resiko</w:t>
      </w:r>
      <w:r w:rsidR="00935583">
        <w:rPr>
          <w:rFonts w:ascii="Times New Roman" w:hAnsi="Times New Roman"/>
          <w:sz w:val="24"/>
          <w:szCs w:val="24"/>
          <w:lang w:val="en-US"/>
        </w:rPr>
        <w:t xml:space="preserve"> (Baturapan, 2000)</w:t>
      </w:r>
      <w:r>
        <w:rPr>
          <w:rFonts w:ascii="Times New Roman" w:hAnsi="Times New Roman"/>
          <w:sz w:val="24"/>
          <w:szCs w:val="24"/>
          <w:lang w:val="en-US"/>
        </w:rPr>
        <w:t xml:space="preserve">. </w:t>
      </w:r>
      <w:proofErr w:type="gramStart"/>
      <w:r>
        <w:rPr>
          <w:rFonts w:ascii="Times New Roman" w:hAnsi="Times New Roman"/>
          <w:sz w:val="24"/>
          <w:szCs w:val="24"/>
          <w:lang w:val="en-US"/>
        </w:rPr>
        <w:t>Mengendalikan resiko merupakan suatu usaha menangani resiko dengan mengurangi kemungkinan da</w:t>
      </w:r>
      <w:r w:rsidR="00935583">
        <w:rPr>
          <w:rFonts w:ascii="Times New Roman" w:hAnsi="Times New Roman"/>
          <w:sz w:val="24"/>
          <w:szCs w:val="24"/>
          <w:lang w:val="en-US"/>
        </w:rPr>
        <w:t>mpak kerugian yang lebih besar.</w:t>
      </w:r>
      <w:proofErr w:type="gramEnd"/>
      <w:r w:rsidR="00935583">
        <w:rPr>
          <w:rFonts w:ascii="Times New Roman" w:hAnsi="Times New Roman"/>
          <w:sz w:val="24"/>
          <w:szCs w:val="24"/>
          <w:lang w:val="en-US"/>
        </w:rPr>
        <w:t xml:space="preserve"> </w:t>
      </w:r>
      <w:proofErr w:type="gramStart"/>
      <w:r w:rsidR="00935583">
        <w:rPr>
          <w:rFonts w:ascii="Times New Roman" w:hAnsi="Times New Roman"/>
          <w:sz w:val="24"/>
          <w:szCs w:val="24"/>
          <w:lang w:val="en-US"/>
        </w:rPr>
        <w:t xml:space="preserve">Pada investasi pasar modal, </w:t>
      </w:r>
      <w:r>
        <w:rPr>
          <w:rFonts w:ascii="Times New Roman" w:hAnsi="Times New Roman"/>
          <w:sz w:val="24"/>
          <w:szCs w:val="24"/>
          <w:lang w:val="en-US"/>
        </w:rPr>
        <w:t xml:space="preserve">starategi yang </w:t>
      </w:r>
      <w:r w:rsidR="00935583">
        <w:rPr>
          <w:rFonts w:ascii="Times New Roman" w:hAnsi="Times New Roman"/>
          <w:sz w:val="24"/>
          <w:szCs w:val="24"/>
          <w:lang w:val="en-US"/>
        </w:rPr>
        <w:t>direkomendasikan</w:t>
      </w:r>
      <w:r>
        <w:rPr>
          <w:rFonts w:ascii="Times New Roman" w:hAnsi="Times New Roman"/>
          <w:sz w:val="24"/>
          <w:szCs w:val="24"/>
          <w:lang w:val="en-US"/>
        </w:rPr>
        <w:t xml:space="preserve"> adalah </w:t>
      </w:r>
      <w:r w:rsidR="00935583">
        <w:rPr>
          <w:rFonts w:ascii="Times New Roman" w:hAnsi="Times New Roman"/>
          <w:sz w:val="24"/>
          <w:szCs w:val="24"/>
          <w:lang w:val="en-US"/>
        </w:rPr>
        <w:t xml:space="preserve">diverensiasi saham </w:t>
      </w:r>
      <w:r>
        <w:rPr>
          <w:rFonts w:ascii="Times New Roman" w:hAnsi="Times New Roman"/>
          <w:sz w:val="24"/>
          <w:szCs w:val="24"/>
          <w:lang w:val="en-US"/>
        </w:rPr>
        <w:t>dengan membentuk suatu portofolio.</w:t>
      </w:r>
      <w:proofErr w:type="gramEnd"/>
      <w:r w:rsidR="00036539">
        <w:rPr>
          <w:rFonts w:ascii="Times New Roman" w:hAnsi="Times New Roman"/>
          <w:sz w:val="24"/>
          <w:szCs w:val="24"/>
          <w:lang w:val="en-US"/>
        </w:rPr>
        <w:t xml:space="preserve"> </w:t>
      </w:r>
      <w:proofErr w:type="gramStart"/>
      <w:r w:rsidR="00935583">
        <w:rPr>
          <w:rFonts w:ascii="Times New Roman" w:hAnsi="Times New Roman"/>
          <w:sz w:val="24"/>
          <w:szCs w:val="24"/>
          <w:lang w:val="en-US"/>
        </w:rPr>
        <w:t xml:space="preserve">Akan sangat banyak kemungkinan portofolio yang dapat dipilih seorang investor, sehingga perlu analisis mendalam </w:t>
      </w:r>
      <w:r w:rsidR="007E14EE">
        <w:rPr>
          <w:rFonts w:ascii="Times New Roman" w:hAnsi="Times New Roman"/>
          <w:sz w:val="24"/>
          <w:szCs w:val="24"/>
          <w:lang w:val="en-US"/>
        </w:rPr>
        <w:t>untuk mendapatkan suatu portofolio optimum.</w:t>
      </w:r>
      <w:proofErr w:type="gramEnd"/>
      <w:r w:rsidR="007E14EE">
        <w:rPr>
          <w:rFonts w:ascii="Times New Roman" w:hAnsi="Times New Roman"/>
          <w:sz w:val="24"/>
          <w:szCs w:val="24"/>
          <w:lang w:val="en-US"/>
        </w:rPr>
        <w:t xml:space="preserve"> </w:t>
      </w:r>
    </w:p>
    <w:p w:rsidR="00424731" w:rsidRPr="009F42C9" w:rsidRDefault="00036539" w:rsidP="0036257B">
      <w:pPr>
        <w:pStyle w:val="NoSpacing"/>
        <w:spacing w:line="480" w:lineRule="auto"/>
        <w:ind w:firstLine="720"/>
        <w:jc w:val="both"/>
        <w:rPr>
          <w:rFonts w:asciiTheme="majorBidi" w:hAnsiTheme="majorBidi" w:cstheme="majorBidi"/>
          <w:color w:val="000000"/>
          <w:sz w:val="24"/>
          <w:szCs w:val="24"/>
          <w:lang w:val="en-US"/>
        </w:rPr>
      </w:pPr>
      <w:r>
        <w:rPr>
          <w:rFonts w:ascii="Times New Roman" w:hAnsi="Times New Roman"/>
          <w:sz w:val="24"/>
          <w:szCs w:val="24"/>
          <w:lang w:val="en-US"/>
        </w:rPr>
        <w:t xml:space="preserve">Salah satu model analisis portofolio </w:t>
      </w:r>
      <w:r w:rsidR="00576D6D">
        <w:rPr>
          <w:rFonts w:ascii="Times New Roman" w:hAnsi="Times New Roman"/>
          <w:sz w:val="24"/>
          <w:szCs w:val="24"/>
          <w:lang w:val="en-US"/>
        </w:rPr>
        <w:t xml:space="preserve">adalah </w:t>
      </w:r>
      <w:r>
        <w:rPr>
          <w:rFonts w:ascii="Times New Roman" w:hAnsi="Times New Roman"/>
          <w:sz w:val="24"/>
          <w:szCs w:val="24"/>
          <w:lang w:val="en-US"/>
        </w:rPr>
        <w:t>model</w:t>
      </w:r>
      <w:r w:rsidR="00326028">
        <w:rPr>
          <w:rFonts w:ascii="Times New Roman" w:hAnsi="Times New Roman"/>
          <w:sz w:val="24"/>
          <w:szCs w:val="24"/>
          <w:lang w:val="en-US"/>
        </w:rPr>
        <w:t xml:space="preserve"> </w:t>
      </w:r>
      <w:r w:rsidRPr="00036539">
        <w:rPr>
          <w:rFonts w:ascii="Times New Roman" w:hAnsi="Times New Roman"/>
          <w:i/>
          <w:sz w:val="24"/>
          <w:szCs w:val="24"/>
        </w:rPr>
        <w:t>Capital Asset Pricing Model</w:t>
      </w:r>
      <w:r w:rsidRPr="00036539">
        <w:rPr>
          <w:rFonts w:ascii="Times New Roman" w:hAnsi="Times New Roman"/>
          <w:sz w:val="24"/>
          <w:szCs w:val="24"/>
          <w:lang w:val="en-US"/>
        </w:rPr>
        <w:t xml:space="preserve"> (</w:t>
      </w:r>
      <w:r w:rsidRPr="00036539">
        <w:rPr>
          <w:rFonts w:ascii="Times New Roman" w:hAnsi="Times New Roman"/>
          <w:sz w:val="24"/>
          <w:szCs w:val="24"/>
        </w:rPr>
        <w:t>C</w:t>
      </w:r>
      <w:r w:rsidRPr="00036539">
        <w:rPr>
          <w:rFonts w:ascii="Times New Roman" w:hAnsi="Times New Roman"/>
          <w:sz w:val="24"/>
          <w:szCs w:val="24"/>
          <w:lang w:val="en-US"/>
        </w:rPr>
        <w:t>APM)</w:t>
      </w:r>
      <w:r w:rsidR="00576D6D">
        <w:rPr>
          <w:rFonts w:ascii="Times New Roman" w:hAnsi="Times New Roman"/>
          <w:sz w:val="24"/>
          <w:szCs w:val="24"/>
          <w:lang w:val="en-US"/>
        </w:rPr>
        <w:t xml:space="preserve">, </w:t>
      </w:r>
      <w:r w:rsidRPr="004B6EB2">
        <w:rPr>
          <w:rFonts w:asciiTheme="majorBidi" w:hAnsiTheme="majorBidi" w:cstheme="majorBidi"/>
          <w:color w:val="000000"/>
          <w:sz w:val="24"/>
          <w:szCs w:val="24"/>
          <w:lang w:val="en-US"/>
        </w:rPr>
        <w:t>model CAPM merupakan analisis yang menghubungkan antara saham-saham beresiko dengan indeks pasar (IHSG) dan aset bebas resiko</w:t>
      </w:r>
      <w:r>
        <w:rPr>
          <w:rFonts w:asciiTheme="majorBidi" w:hAnsiTheme="majorBidi" w:cstheme="majorBidi"/>
          <w:color w:val="000000"/>
          <w:sz w:val="24"/>
          <w:szCs w:val="24"/>
          <w:lang w:val="en-US"/>
        </w:rPr>
        <w:t xml:space="preserve"> (SBI)</w:t>
      </w:r>
      <w:r w:rsidR="009F42C9">
        <w:rPr>
          <w:rFonts w:asciiTheme="majorBidi" w:hAnsiTheme="majorBidi" w:cstheme="majorBidi"/>
          <w:color w:val="000000"/>
          <w:sz w:val="24"/>
          <w:szCs w:val="24"/>
          <w:lang w:val="en-US"/>
        </w:rPr>
        <w:t xml:space="preserve"> dengan memperhatikan nilai </w:t>
      </w:r>
      <w:r w:rsidR="009F42C9">
        <w:rPr>
          <w:rFonts w:asciiTheme="majorBidi" w:hAnsiTheme="majorBidi" w:cstheme="majorBidi"/>
          <w:i/>
          <w:color w:val="000000"/>
          <w:sz w:val="24"/>
          <w:szCs w:val="24"/>
          <w:lang w:val="en-US"/>
        </w:rPr>
        <w:t xml:space="preserve">return </w:t>
      </w:r>
      <w:r w:rsidR="009F42C9">
        <w:rPr>
          <w:rFonts w:asciiTheme="majorBidi" w:hAnsiTheme="majorBidi" w:cstheme="majorBidi"/>
          <w:color w:val="000000"/>
          <w:sz w:val="24"/>
          <w:szCs w:val="24"/>
          <w:lang w:val="en-US"/>
        </w:rPr>
        <w:t>dan resiko.</w:t>
      </w:r>
    </w:p>
    <w:p w:rsidR="00326028" w:rsidRPr="009F42C9" w:rsidRDefault="009F42C9" w:rsidP="0036257B">
      <w:pPr>
        <w:pStyle w:val="NoSpacing"/>
        <w:spacing w:line="480" w:lineRule="auto"/>
        <w:ind w:firstLine="720"/>
        <w:jc w:val="both"/>
        <w:rPr>
          <w:rFonts w:ascii="Times New Roman" w:hAnsi="Times New Roman"/>
          <w:sz w:val="24"/>
          <w:szCs w:val="24"/>
          <w:lang w:val="en-US"/>
        </w:rPr>
      </w:pPr>
      <w:proofErr w:type="gramStart"/>
      <w:r>
        <w:rPr>
          <w:rFonts w:ascii="Times New Roman" w:hAnsi="Times New Roman"/>
          <w:sz w:val="24"/>
          <w:szCs w:val="24"/>
          <w:lang w:val="en-US"/>
        </w:rPr>
        <w:t xml:space="preserve">Langkah penting dalam analisis portofolio dengan CAPM adalah </w:t>
      </w:r>
      <w:r w:rsidR="00326028">
        <w:rPr>
          <w:rFonts w:ascii="Times New Roman" w:hAnsi="Times New Roman"/>
          <w:sz w:val="24"/>
          <w:szCs w:val="24"/>
          <w:lang w:val="en-US"/>
        </w:rPr>
        <w:t xml:space="preserve">mengukur </w:t>
      </w:r>
      <w:r w:rsidR="006A6577" w:rsidRPr="0021420F">
        <w:rPr>
          <w:rFonts w:ascii="Times New Roman" w:hAnsi="Times New Roman"/>
          <w:sz w:val="24"/>
          <w:szCs w:val="24"/>
        </w:rPr>
        <w:t xml:space="preserve">besar nilai resiko </w:t>
      </w:r>
      <w:r w:rsidR="006A6577" w:rsidRPr="0021420F">
        <w:rPr>
          <w:rFonts w:ascii="Times New Roman" w:hAnsi="Times New Roman"/>
          <w:sz w:val="24"/>
          <w:szCs w:val="24"/>
          <w:lang w:val="en-US"/>
        </w:rPr>
        <w:t>dan</w:t>
      </w:r>
      <w:r w:rsidR="006A6577" w:rsidRPr="0021420F">
        <w:rPr>
          <w:rFonts w:ascii="Times New Roman" w:hAnsi="Times New Roman"/>
          <w:sz w:val="24"/>
          <w:szCs w:val="24"/>
        </w:rPr>
        <w:t xml:space="preserve"> </w:t>
      </w:r>
      <w:r w:rsidR="006A6577" w:rsidRPr="0021420F">
        <w:rPr>
          <w:rFonts w:ascii="Times New Roman" w:hAnsi="Times New Roman"/>
          <w:sz w:val="24"/>
          <w:szCs w:val="24"/>
          <w:lang w:val="en-US"/>
        </w:rPr>
        <w:t>a</w:t>
      </w:r>
      <w:r w:rsidR="006A6577" w:rsidRPr="0021420F">
        <w:rPr>
          <w:rFonts w:ascii="Times New Roman" w:hAnsi="Times New Roman"/>
          <w:sz w:val="24"/>
          <w:szCs w:val="24"/>
        </w:rPr>
        <w:t xml:space="preserve">lat untuk mengukur resiko yang </w:t>
      </w:r>
      <w:r w:rsidR="006A6577" w:rsidRPr="0021420F">
        <w:rPr>
          <w:rFonts w:ascii="Times New Roman" w:hAnsi="Times New Roman"/>
          <w:sz w:val="24"/>
          <w:szCs w:val="24"/>
          <w:lang w:val="en-US"/>
        </w:rPr>
        <w:t>popular bagi pelaku bisnis keuangan adalah</w:t>
      </w:r>
      <w:r w:rsidR="006A6577" w:rsidRPr="0021420F">
        <w:rPr>
          <w:rFonts w:ascii="Times New Roman" w:hAnsi="Times New Roman"/>
          <w:sz w:val="24"/>
          <w:szCs w:val="24"/>
        </w:rPr>
        <w:t xml:space="preserve"> </w:t>
      </w:r>
      <w:r w:rsidR="006A6577" w:rsidRPr="0021420F">
        <w:rPr>
          <w:rFonts w:ascii="Times New Roman" w:hAnsi="Times New Roman"/>
          <w:i/>
          <w:sz w:val="24"/>
          <w:szCs w:val="24"/>
        </w:rPr>
        <w:t>value at risk</w:t>
      </w:r>
      <w:r w:rsidR="006A6577" w:rsidRPr="0021420F">
        <w:rPr>
          <w:rFonts w:ascii="Times New Roman" w:hAnsi="Times New Roman"/>
          <w:sz w:val="24"/>
          <w:szCs w:val="24"/>
        </w:rPr>
        <w:t xml:space="preserve"> (VaR).</w:t>
      </w:r>
      <w:proofErr w:type="gramEnd"/>
      <w:r w:rsidR="006A6577" w:rsidRPr="0021420F">
        <w:rPr>
          <w:rFonts w:ascii="Times New Roman" w:hAnsi="Times New Roman"/>
          <w:sz w:val="24"/>
          <w:szCs w:val="24"/>
        </w:rPr>
        <w:t xml:space="preserve"> VaR</w:t>
      </w:r>
      <w:r w:rsidR="006A6577" w:rsidRPr="0021420F">
        <w:rPr>
          <w:rFonts w:ascii="Times New Roman" w:hAnsi="Times New Roman"/>
          <w:sz w:val="24"/>
          <w:szCs w:val="24"/>
          <w:lang w:val="en-US"/>
        </w:rPr>
        <w:t xml:space="preserve"> juga </w:t>
      </w:r>
      <w:r w:rsidR="006A6577" w:rsidRPr="0021420F">
        <w:rPr>
          <w:rFonts w:ascii="Times New Roman" w:hAnsi="Times New Roman"/>
          <w:sz w:val="24"/>
          <w:szCs w:val="24"/>
        </w:rPr>
        <w:t xml:space="preserve">merupakan alat yang direkomendasikan Bank </w:t>
      </w:r>
      <w:r w:rsidR="006A6577" w:rsidRPr="0021420F">
        <w:rPr>
          <w:rFonts w:ascii="Times New Roman" w:hAnsi="Times New Roman"/>
          <w:sz w:val="24"/>
          <w:szCs w:val="24"/>
          <w:lang w:val="en-US"/>
        </w:rPr>
        <w:t>I</w:t>
      </w:r>
      <w:r w:rsidR="006A6577" w:rsidRPr="0021420F">
        <w:rPr>
          <w:rFonts w:ascii="Times New Roman" w:hAnsi="Times New Roman"/>
          <w:sz w:val="24"/>
          <w:szCs w:val="24"/>
        </w:rPr>
        <w:t>ndonesia untuk mengukur kerugian maksimum yang diperkirakan akan timbul dari suatu posisi portofolio tertentu sebagai akibat perubahan suku bunga di pasar (suku bunga referensi) pada suatu interval tertentu</w:t>
      </w:r>
      <w:r w:rsidR="006A6577" w:rsidRPr="0021420F">
        <w:rPr>
          <w:rFonts w:ascii="Times New Roman" w:hAnsi="Times New Roman"/>
          <w:sz w:val="24"/>
          <w:szCs w:val="24"/>
          <w:lang w:val="en-US"/>
        </w:rPr>
        <w:t xml:space="preserve"> (</w:t>
      </w:r>
      <w:r w:rsidR="006A6577" w:rsidRPr="0021420F">
        <w:rPr>
          <w:rFonts w:ascii="Times New Roman" w:hAnsi="Times New Roman"/>
          <w:sz w:val="24"/>
          <w:szCs w:val="24"/>
        </w:rPr>
        <w:t>Bank Indonesia, 2003</w:t>
      </w:r>
      <w:r w:rsidR="006A6577" w:rsidRPr="0021420F">
        <w:rPr>
          <w:rFonts w:ascii="Times New Roman" w:hAnsi="Times New Roman"/>
          <w:sz w:val="24"/>
          <w:szCs w:val="24"/>
          <w:lang w:val="en-US"/>
        </w:rPr>
        <w:t>: 30)</w:t>
      </w:r>
      <w:r w:rsidR="006A6577" w:rsidRPr="0021420F">
        <w:rPr>
          <w:rFonts w:ascii="Times New Roman" w:hAnsi="Times New Roman"/>
          <w:sz w:val="24"/>
          <w:szCs w:val="24"/>
        </w:rPr>
        <w:t>. P</w:t>
      </w:r>
      <w:r w:rsidR="006A6577" w:rsidRPr="0021420F">
        <w:rPr>
          <w:rFonts w:ascii="Times New Roman" w:hAnsi="Times New Roman"/>
          <w:sz w:val="24"/>
          <w:szCs w:val="24"/>
          <w:lang w:val="en-US"/>
        </w:rPr>
        <w:t>ada p</w:t>
      </w:r>
      <w:r w:rsidR="006A6577" w:rsidRPr="0021420F">
        <w:rPr>
          <w:rFonts w:ascii="Times New Roman" w:hAnsi="Times New Roman"/>
          <w:sz w:val="24"/>
          <w:szCs w:val="24"/>
        </w:rPr>
        <w:t>enerapannya</w:t>
      </w:r>
      <w:r w:rsidR="006A6577" w:rsidRPr="0021420F">
        <w:rPr>
          <w:rFonts w:ascii="Times New Roman" w:hAnsi="Times New Roman"/>
          <w:sz w:val="24"/>
          <w:szCs w:val="24"/>
          <w:lang w:val="en-US"/>
        </w:rPr>
        <w:t>,</w:t>
      </w:r>
      <w:r w:rsidR="006A6577" w:rsidRPr="0021420F">
        <w:rPr>
          <w:rFonts w:ascii="Times New Roman" w:hAnsi="Times New Roman"/>
          <w:sz w:val="24"/>
          <w:szCs w:val="24"/>
        </w:rPr>
        <w:t xml:space="preserve"> peng</w:t>
      </w:r>
      <w:r w:rsidR="000726FA">
        <w:rPr>
          <w:rFonts w:ascii="Times New Roman" w:hAnsi="Times New Roman"/>
          <w:sz w:val="24"/>
          <w:szCs w:val="24"/>
          <w:lang w:val="en-US"/>
        </w:rPr>
        <w:t>g</w:t>
      </w:r>
      <w:r w:rsidR="006A6577" w:rsidRPr="0021420F">
        <w:rPr>
          <w:rFonts w:ascii="Times New Roman" w:hAnsi="Times New Roman"/>
          <w:sz w:val="24"/>
          <w:szCs w:val="24"/>
        </w:rPr>
        <w:t xml:space="preserve">unaan </w:t>
      </w:r>
      <w:r w:rsidR="00424731">
        <w:rPr>
          <w:rFonts w:ascii="Times New Roman" w:hAnsi="Times New Roman"/>
          <w:sz w:val="24"/>
          <w:szCs w:val="24"/>
          <w:lang w:val="en-US"/>
        </w:rPr>
        <w:t xml:space="preserve">CAPM dan </w:t>
      </w:r>
      <w:r w:rsidR="006A6577" w:rsidRPr="0021420F">
        <w:rPr>
          <w:rFonts w:ascii="Times New Roman" w:hAnsi="Times New Roman"/>
          <w:sz w:val="24"/>
          <w:szCs w:val="24"/>
        </w:rPr>
        <w:t xml:space="preserve">VaR </w:t>
      </w:r>
      <w:r w:rsidR="006A6577" w:rsidRPr="0021420F">
        <w:rPr>
          <w:rFonts w:ascii="Times New Roman" w:hAnsi="Times New Roman"/>
          <w:sz w:val="24"/>
          <w:szCs w:val="24"/>
        </w:rPr>
        <w:lastRenderedPageBreak/>
        <w:t>sering mengasumsikan data berdistribusi normal, padahal kenyataannya banyak data keuangan sifat-sifat statistiknya menunjukan gejala ketidaknormalan</w:t>
      </w:r>
      <w:r w:rsidR="00831F72">
        <w:rPr>
          <w:rFonts w:ascii="Times New Roman" w:hAnsi="Times New Roman"/>
          <w:sz w:val="24"/>
          <w:szCs w:val="24"/>
          <w:lang w:val="en-US"/>
        </w:rPr>
        <w:t xml:space="preserve"> (Sutangkir &amp; Surya, 2006)</w:t>
      </w:r>
      <w:r>
        <w:rPr>
          <w:rFonts w:ascii="Times New Roman" w:hAnsi="Times New Roman"/>
          <w:sz w:val="24"/>
          <w:szCs w:val="24"/>
          <w:lang w:val="en-US"/>
        </w:rPr>
        <w:t xml:space="preserve"> dan </w:t>
      </w:r>
      <w:r w:rsidR="00831F72">
        <w:rPr>
          <w:rFonts w:ascii="Times New Roman" w:hAnsi="Times New Roman"/>
          <w:sz w:val="24"/>
          <w:szCs w:val="24"/>
          <w:lang w:val="en-US"/>
        </w:rPr>
        <w:t xml:space="preserve">Qudratullah (2011) menemukan bahwa saham-saham syariah yang tergabung dalam </w:t>
      </w:r>
      <w:r w:rsidR="00831F72">
        <w:rPr>
          <w:rFonts w:ascii="Times New Roman" w:hAnsi="Times New Roman"/>
          <w:i/>
          <w:sz w:val="24"/>
          <w:szCs w:val="24"/>
          <w:lang w:val="en-US"/>
        </w:rPr>
        <w:t xml:space="preserve">Jakarta Islamic Index </w:t>
      </w:r>
      <w:r w:rsidR="00831F72">
        <w:rPr>
          <w:rFonts w:ascii="Times New Roman" w:hAnsi="Times New Roman"/>
          <w:sz w:val="24"/>
          <w:szCs w:val="24"/>
          <w:lang w:val="en-US"/>
        </w:rPr>
        <w:t xml:space="preserve">(JII) </w:t>
      </w:r>
      <w:r>
        <w:rPr>
          <w:rFonts w:ascii="Times New Roman" w:hAnsi="Times New Roman"/>
          <w:sz w:val="24"/>
          <w:szCs w:val="24"/>
          <w:lang w:val="en-US"/>
        </w:rPr>
        <w:t xml:space="preserve">semuanya </w:t>
      </w:r>
      <w:r w:rsidR="00831F72">
        <w:rPr>
          <w:rFonts w:ascii="Times New Roman" w:hAnsi="Times New Roman"/>
          <w:sz w:val="24"/>
          <w:szCs w:val="24"/>
          <w:lang w:val="en-US"/>
        </w:rPr>
        <w:t>berdistribusi tidak normal.</w:t>
      </w:r>
    </w:p>
    <w:p w:rsidR="002044DA" w:rsidRPr="00437C41" w:rsidRDefault="00416CC1" w:rsidP="00437C41">
      <w:pPr>
        <w:pStyle w:val="NoSpacing"/>
        <w:spacing w:line="480" w:lineRule="auto"/>
        <w:ind w:firstLine="720"/>
        <w:jc w:val="both"/>
        <w:rPr>
          <w:rFonts w:ascii="Times New Roman" w:hAnsi="Times New Roman"/>
          <w:sz w:val="24"/>
          <w:szCs w:val="24"/>
          <w:lang w:val="en-US"/>
        </w:rPr>
      </w:pPr>
      <w:r>
        <w:rPr>
          <w:rFonts w:ascii="Times New Roman" w:hAnsi="Times New Roman"/>
          <w:sz w:val="24"/>
          <w:szCs w:val="24"/>
          <w:lang w:val="en-US"/>
        </w:rPr>
        <w:t>Penelitian ini membahas</w:t>
      </w:r>
      <w:r w:rsidR="006B6BE8">
        <w:rPr>
          <w:rFonts w:ascii="Times New Roman" w:hAnsi="Times New Roman"/>
          <w:sz w:val="24"/>
          <w:szCs w:val="24"/>
          <w:lang w:val="en-US"/>
        </w:rPr>
        <w:t xml:space="preserve"> metode analisis portofolio optimum saham syariah yang bersifat tidak normal dengan </w:t>
      </w:r>
      <w:r w:rsidR="006975E4">
        <w:rPr>
          <w:rFonts w:ascii="Times New Roman" w:hAnsi="Times New Roman"/>
          <w:sz w:val="24"/>
          <w:szCs w:val="24"/>
          <w:lang w:val="en-US"/>
        </w:rPr>
        <w:t xml:space="preserve">mengkombinasikan metode </w:t>
      </w:r>
      <w:r w:rsidR="006975E4" w:rsidRPr="00036539">
        <w:rPr>
          <w:rFonts w:ascii="Times New Roman" w:hAnsi="Times New Roman"/>
          <w:i/>
          <w:sz w:val="24"/>
          <w:szCs w:val="24"/>
        </w:rPr>
        <w:t>Capital Asset Pricing Model</w:t>
      </w:r>
      <w:r w:rsidR="006975E4" w:rsidRPr="00036539">
        <w:rPr>
          <w:rFonts w:ascii="Times New Roman" w:hAnsi="Times New Roman"/>
          <w:sz w:val="24"/>
          <w:szCs w:val="24"/>
          <w:lang w:val="en-US"/>
        </w:rPr>
        <w:t xml:space="preserve"> (</w:t>
      </w:r>
      <w:r w:rsidR="006975E4" w:rsidRPr="00036539">
        <w:rPr>
          <w:rFonts w:ascii="Times New Roman" w:hAnsi="Times New Roman"/>
          <w:sz w:val="24"/>
          <w:szCs w:val="24"/>
        </w:rPr>
        <w:t>C</w:t>
      </w:r>
      <w:r w:rsidR="006975E4" w:rsidRPr="00036539">
        <w:rPr>
          <w:rFonts w:ascii="Times New Roman" w:hAnsi="Times New Roman"/>
          <w:sz w:val="24"/>
          <w:szCs w:val="24"/>
          <w:lang w:val="en-US"/>
        </w:rPr>
        <w:t>APM)</w:t>
      </w:r>
      <w:r w:rsidR="006975E4">
        <w:rPr>
          <w:rFonts w:ascii="Times New Roman" w:hAnsi="Times New Roman"/>
          <w:sz w:val="24"/>
          <w:szCs w:val="24"/>
          <w:lang w:val="en-US"/>
        </w:rPr>
        <w:t xml:space="preserve"> dan </w:t>
      </w:r>
      <w:r w:rsidR="006975E4" w:rsidRPr="006975E4">
        <w:rPr>
          <w:rFonts w:ascii="Times New Roman" w:hAnsi="Times New Roman"/>
          <w:i/>
          <w:sz w:val="24"/>
          <w:szCs w:val="24"/>
          <w:lang w:val="en-US"/>
        </w:rPr>
        <w:t>Value at Risk</w:t>
      </w:r>
      <w:r w:rsidR="006975E4">
        <w:rPr>
          <w:rFonts w:ascii="Times New Roman" w:hAnsi="Times New Roman"/>
          <w:sz w:val="24"/>
          <w:szCs w:val="24"/>
          <w:lang w:val="en-US"/>
        </w:rPr>
        <w:t xml:space="preserve"> (VaR)</w:t>
      </w:r>
      <w:r w:rsidR="00D0606D">
        <w:rPr>
          <w:rFonts w:ascii="Times New Roman" w:hAnsi="Times New Roman"/>
          <w:sz w:val="24"/>
          <w:szCs w:val="24"/>
          <w:lang w:val="en-US"/>
        </w:rPr>
        <w:t xml:space="preserve"> serta aplikasinya pada pasar modal syariah di Indonesia.</w:t>
      </w:r>
    </w:p>
    <w:p w:rsidR="00416CC1" w:rsidRDefault="00416CC1" w:rsidP="0036257B">
      <w:pPr>
        <w:pStyle w:val="NoSpacing"/>
        <w:spacing w:line="480" w:lineRule="auto"/>
        <w:jc w:val="both"/>
        <w:rPr>
          <w:rFonts w:ascii="Times New Roman" w:hAnsi="Times New Roman"/>
          <w:b/>
          <w:sz w:val="24"/>
          <w:szCs w:val="24"/>
          <w:lang w:val="en-US"/>
        </w:rPr>
      </w:pPr>
    </w:p>
    <w:p w:rsidR="00056F7E" w:rsidRPr="006F6DEE" w:rsidRDefault="00416CC1" w:rsidP="0036257B">
      <w:pPr>
        <w:pStyle w:val="NoSpacing"/>
        <w:spacing w:line="480" w:lineRule="auto"/>
        <w:jc w:val="both"/>
        <w:rPr>
          <w:rFonts w:ascii="Times New Roman" w:hAnsi="Times New Roman"/>
          <w:b/>
          <w:sz w:val="24"/>
          <w:szCs w:val="24"/>
          <w:lang w:val="en-US"/>
        </w:rPr>
      </w:pPr>
      <w:r>
        <w:rPr>
          <w:rFonts w:ascii="Times New Roman" w:hAnsi="Times New Roman"/>
          <w:b/>
          <w:sz w:val="24"/>
          <w:szCs w:val="24"/>
          <w:lang w:val="en-US"/>
        </w:rPr>
        <w:t>2</w:t>
      </w:r>
      <w:r w:rsidR="00C54AC3" w:rsidRPr="006F6DEE">
        <w:rPr>
          <w:rFonts w:ascii="Times New Roman" w:hAnsi="Times New Roman"/>
          <w:b/>
          <w:sz w:val="24"/>
          <w:szCs w:val="24"/>
        </w:rPr>
        <w:t>. KERANGKA TEORI</w:t>
      </w:r>
    </w:p>
    <w:p w:rsidR="009337B4" w:rsidRPr="0021420F" w:rsidRDefault="00416CC1" w:rsidP="0036257B">
      <w:pPr>
        <w:pStyle w:val="NoSpacing"/>
        <w:spacing w:line="480" w:lineRule="auto"/>
        <w:jc w:val="both"/>
        <w:rPr>
          <w:rFonts w:ascii="Times New Roman" w:hAnsi="Times New Roman"/>
          <w:b/>
          <w:sz w:val="24"/>
          <w:szCs w:val="24"/>
        </w:rPr>
      </w:pPr>
      <w:r>
        <w:rPr>
          <w:rFonts w:ascii="Times New Roman" w:hAnsi="Times New Roman"/>
          <w:b/>
          <w:sz w:val="24"/>
          <w:szCs w:val="24"/>
          <w:lang w:val="en-US"/>
        </w:rPr>
        <w:t>2</w:t>
      </w:r>
      <w:r w:rsidR="009337B4" w:rsidRPr="0021420F">
        <w:rPr>
          <w:rFonts w:ascii="Times New Roman" w:hAnsi="Times New Roman"/>
          <w:b/>
          <w:sz w:val="24"/>
          <w:szCs w:val="24"/>
        </w:rPr>
        <w:t>.1 Pasar Modal Syariah di Indonesia</w:t>
      </w:r>
    </w:p>
    <w:p w:rsidR="007E14EE" w:rsidRDefault="009337B4" w:rsidP="0036257B">
      <w:pPr>
        <w:pStyle w:val="NoSpacing"/>
        <w:spacing w:line="480" w:lineRule="auto"/>
        <w:ind w:firstLine="720"/>
        <w:jc w:val="both"/>
        <w:rPr>
          <w:rFonts w:ascii="Times New Roman" w:hAnsi="Times New Roman"/>
          <w:sz w:val="24"/>
          <w:szCs w:val="24"/>
          <w:lang w:val="en-US"/>
        </w:rPr>
      </w:pPr>
      <w:r w:rsidRPr="0021420F">
        <w:rPr>
          <w:rFonts w:ascii="Times New Roman" w:hAnsi="Times New Roman"/>
          <w:sz w:val="24"/>
          <w:szCs w:val="24"/>
        </w:rPr>
        <w:t xml:space="preserve">Pada tanggal 3 Juli 2000, PT Bursa Efek Indonesia bekerjasama dengan PT Danareksa Invesment Management (DIM) meluncurkan indeks saham yang dibuat berdasarkan syariah Islam, yaitu </w:t>
      </w:r>
      <w:r w:rsidRPr="0021420F">
        <w:rPr>
          <w:rFonts w:ascii="Times New Roman" w:hAnsi="Times New Roman"/>
          <w:i/>
          <w:sz w:val="24"/>
          <w:szCs w:val="24"/>
        </w:rPr>
        <w:t>Jakarta Islamic Index</w:t>
      </w:r>
      <w:r w:rsidRPr="0021420F">
        <w:rPr>
          <w:rFonts w:ascii="Times New Roman" w:hAnsi="Times New Roman"/>
          <w:sz w:val="24"/>
          <w:szCs w:val="24"/>
        </w:rPr>
        <w:t xml:space="preserve"> (JII). Indeks ini diharapkan menjadi tolak ukur kinerja saham-saham yang berbasis syariah serta untuk lebih mengembangkan pasar modal syariah. JII terdiri atas 30 saham yang terpilih dari saham-saham yang sesuai dengan syariah Islam yang pemilihan sahamnya dilakukan oleh Bappepam-LK bekerjasama dengan Dewan Syariah Nasional (DSN) setiap 6 bulan</w:t>
      </w:r>
      <w:r w:rsidRPr="0021420F">
        <w:rPr>
          <w:rFonts w:ascii="Times New Roman" w:hAnsi="Times New Roman"/>
          <w:sz w:val="24"/>
          <w:szCs w:val="24"/>
          <w:lang w:val="en-US"/>
        </w:rPr>
        <w:t xml:space="preserve"> melalui 2 tahap, yaitu seleksi syariah dan seleksi nilai volume transaksi</w:t>
      </w:r>
      <w:r w:rsidRPr="0021420F">
        <w:rPr>
          <w:rFonts w:ascii="Times New Roman" w:hAnsi="Times New Roman"/>
          <w:sz w:val="24"/>
          <w:szCs w:val="24"/>
        </w:rPr>
        <w:t xml:space="preserve">. </w:t>
      </w:r>
    </w:p>
    <w:p w:rsidR="009337B4" w:rsidRPr="00991137" w:rsidRDefault="00416CC1" w:rsidP="0036257B">
      <w:pPr>
        <w:pStyle w:val="NoSpacing"/>
        <w:spacing w:line="480" w:lineRule="auto"/>
        <w:jc w:val="both"/>
        <w:rPr>
          <w:rFonts w:ascii="Times New Roman" w:hAnsi="Times New Roman"/>
          <w:b/>
          <w:sz w:val="24"/>
          <w:szCs w:val="24"/>
        </w:rPr>
      </w:pPr>
      <w:r>
        <w:rPr>
          <w:rFonts w:ascii="Times New Roman" w:hAnsi="Times New Roman"/>
          <w:b/>
          <w:sz w:val="24"/>
          <w:szCs w:val="24"/>
          <w:lang w:val="en-US"/>
        </w:rPr>
        <w:t>2</w:t>
      </w:r>
      <w:r w:rsidR="009337B4" w:rsidRPr="001540AC">
        <w:rPr>
          <w:rFonts w:ascii="Times New Roman" w:hAnsi="Times New Roman"/>
          <w:b/>
          <w:sz w:val="24"/>
          <w:szCs w:val="24"/>
        </w:rPr>
        <w:t>.2</w:t>
      </w:r>
      <w:r w:rsidR="009337B4">
        <w:rPr>
          <w:rFonts w:ascii="Times New Roman" w:hAnsi="Times New Roman"/>
          <w:b/>
          <w:sz w:val="24"/>
          <w:szCs w:val="24"/>
        </w:rPr>
        <w:t xml:space="preserve">  </w:t>
      </w:r>
      <w:r w:rsidR="009337B4" w:rsidRPr="001540AC">
        <w:rPr>
          <w:rFonts w:ascii="Times New Roman" w:hAnsi="Times New Roman"/>
          <w:b/>
          <w:sz w:val="24"/>
          <w:szCs w:val="24"/>
        </w:rPr>
        <w:t xml:space="preserve"> </w:t>
      </w:r>
      <w:r w:rsidR="009337B4" w:rsidRPr="001540AC">
        <w:rPr>
          <w:rFonts w:ascii="Times New Roman" w:hAnsi="Times New Roman"/>
          <w:b/>
          <w:i/>
          <w:sz w:val="24"/>
          <w:szCs w:val="24"/>
        </w:rPr>
        <w:t xml:space="preserve">Return </w:t>
      </w:r>
    </w:p>
    <w:p w:rsidR="009337B4" w:rsidRDefault="009337B4" w:rsidP="0036257B">
      <w:pPr>
        <w:pStyle w:val="NoSpacing"/>
        <w:spacing w:line="480" w:lineRule="auto"/>
        <w:ind w:firstLine="720"/>
        <w:jc w:val="both"/>
        <w:rPr>
          <w:rFonts w:ascii="Times New Roman" w:hAnsi="Times New Roman"/>
          <w:sz w:val="24"/>
          <w:szCs w:val="24"/>
        </w:rPr>
      </w:pPr>
      <w:r w:rsidRPr="001540AC">
        <w:rPr>
          <w:rFonts w:ascii="Times New Roman" w:hAnsi="Times New Roman"/>
          <w:sz w:val="24"/>
          <w:szCs w:val="24"/>
        </w:rPr>
        <w:t>Hal mendasar dalam keputusan investasi adalah tingkat keuntungan yang diharapkan (</w:t>
      </w:r>
      <w:r w:rsidRPr="001540AC">
        <w:rPr>
          <w:rFonts w:ascii="Times New Roman" w:hAnsi="Times New Roman"/>
          <w:i/>
          <w:sz w:val="24"/>
          <w:szCs w:val="24"/>
        </w:rPr>
        <w:t>return</w:t>
      </w:r>
      <w:r w:rsidRPr="001540AC">
        <w:rPr>
          <w:rFonts w:ascii="Times New Roman" w:hAnsi="Times New Roman"/>
          <w:sz w:val="24"/>
          <w:szCs w:val="24"/>
        </w:rPr>
        <w:t xml:space="preserve">) dan resiko (Tandelilin, 2001). </w:t>
      </w:r>
      <w:r w:rsidRPr="001540AC">
        <w:rPr>
          <w:rFonts w:ascii="Times New Roman" w:hAnsi="Times New Roman"/>
          <w:i/>
          <w:sz w:val="24"/>
          <w:szCs w:val="24"/>
        </w:rPr>
        <w:t>Return</w:t>
      </w:r>
      <w:r w:rsidRPr="001540AC">
        <w:rPr>
          <w:rFonts w:ascii="Times New Roman" w:hAnsi="Times New Roman"/>
          <w:sz w:val="24"/>
          <w:szCs w:val="24"/>
        </w:rPr>
        <w:t xml:space="preserve"> adalah hasil (tingkat </w:t>
      </w:r>
      <w:r w:rsidRPr="001540AC">
        <w:rPr>
          <w:rFonts w:ascii="Times New Roman" w:hAnsi="Times New Roman"/>
          <w:sz w:val="24"/>
          <w:szCs w:val="24"/>
        </w:rPr>
        <w:lastRenderedPageBreak/>
        <w:t>pengembalian) yang diperoleh sebagai akibat dari investasi yang dilakukan</w:t>
      </w:r>
      <w:r w:rsidRPr="00C56C74">
        <w:rPr>
          <w:rFonts w:ascii="Times New Roman" w:hAnsi="Times New Roman"/>
          <w:sz w:val="24"/>
          <w:szCs w:val="24"/>
        </w:rPr>
        <w:t xml:space="preserve">. Ada beberapa jenis return yang biasa digunakan dalam perhitungan resiko, yaitu </w:t>
      </w:r>
      <w:r w:rsidRPr="00C56C74">
        <w:rPr>
          <w:rFonts w:ascii="Times New Roman" w:hAnsi="Times New Roman"/>
          <w:i/>
          <w:sz w:val="24"/>
          <w:szCs w:val="24"/>
        </w:rPr>
        <w:t>simple net return</w:t>
      </w:r>
      <w:r w:rsidR="0036257B">
        <w:rPr>
          <w:rFonts w:ascii="Times New Roman" w:hAnsi="Times New Roman"/>
          <w:i/>
          <w:sz w:val="24"/>
          <w:szCs w:val="24"/>
          <w:lang w:val="en-US"/>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oMath>
      <w:r>
        <w:rPr>
          <w:rFonts w:ascii="Times New Roman" w:eastAsiaTheme="minorEastAsia" w:hAnsi="Times New Roman"/>
          <w:sz w:val="24"/>
          <w:szCs w:val="24"/>
        </w:rPr>
        <w:t xml:space="preserve">) </w:t>
      </w:r>
      <w:r w:rsidRPr="00C56C74">
        <w:rPr>
          <w:rFonts w:ascii="Times New Roman" w:hAnsi="Times New Roman"/>
          <w:sz w:val="24"/>
          <w:szCs w:val="24"/>
        </w:rPr>
        <w:t xml:space="preserve">dan </w:t>
      </w:r>
      <w:r w:rsidRPr="00FE3FCA">
        <w:rPr>
          <w:rFonts w:ascii="Times New Roman" w:hAnsi="Times New Roman"/>
          <w:sz w:val="24"/>
          <w:szCs w:val="24"/>
        </w:rPr>
        <w:t>geometri</w:t>
      </w:r>
      <w:r>
        <w:rPr>
          <w:rFonts w:ascii="Times New Roman" w:hAnsi="Times New Roman"/>
          <w:sz w:val="24"/>
          <w:szCs w:val="24"/>
        </w:rPr>
        <w:t>k</w:t>
      </w:r>
      <w:r>
        <w:rPr>
          <w:rFonts w:ascii="Times New Roman" w:hAnsi="Times New Roman"/>
          <w:i/>
          <w:sz w:val="24"/>
          <w:szCs w:val="24"/>
        </w:rPr>
        <w:t xml:space="preserve"> return </w:t>
      </w:r>
      <w:r w:rsidRPr="00FE3FCA">
        <w:rPr>
          <w:rFonts w:ascii="Times New Roman" w:hAnsi="Times New Roman"/>
          <w:sz w:val="24"/>
          <w:szCs w:val="24"/>
        </w:rPr>
        <w:t>atau</w:t>
      </w:r>
      <w:r>
        <w:rPr>
          <w:rFonts w:ascii="Times New Roman" w:hAnsi="Times New Roman"/>
          <w:i/>
          <w:sz w:val="24"/>
          <w:szCs w:val="24"/>
        </w:rPr>
        <w:t xml:space="preserve"> l</w:t>
      </w:r>
      <w:r w:rsidRPr="00C56C74">
        <w:rPr>
          <w:rFonts w:ascii="Times New Roman" w:hAnsi="Times New Roman"/>
          <w:i/>
          <w:sz w:val="24"/>
          <w:szCs w:val="24"/>
        </w:rPr>
        <w:t>og return</w:t>
      </w:r>
      <w:r>
        <w:rPr>
          <w:rFonts w:ascii="Times New Roman" w:hAnsi="Times New Roman"/>
          <w:i/>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oMath>
      <w:r>
        <w:rPr>
          <w:rFonts w:ascii="Times New Roman" w:eastAsiaTheme="minorEastAsia" w:hAnsi="Times New Roman"/>
          <w:sz w:val="24"/>
          <w:szCs w:val="24"/>
        </w:rPr>
        <w:t xml:space="preserve">) </w:t>
      </w:r>
      <w:r>
        <w:rPr>
          <w:rFonts w:ascii="Times New Roman" w:hAnsi="Times New Roman"/>
          <w:i/>
          <w:sz w:val="24"/>
          <w:szCs w:val="24"/>
        </w:rPr>
        <w:t xml:space="preserve"> </w:t>
      </w:r>
      <w:r>
        <w:rPr>
          <w:rFonts w:ascii="Times New Roman" w:hAnsi="Times New Roman"/>
          <w:sz w:val="24"/>
          <w:szCs w:val="24"/>
        </w:rPr>
        <w:t xml:space="preserve">. </w:t>
      </w:r>
    </w:p>
    <w:tbl>
      <w:tblPr>
        <w:tblW w:w="0" w:type="auto"/>
        <w:tblInd w:w="817" w:type="dxa"/>
        <w:tblLook w:val="04A0"/>
      </w:tblPr>
      <w:tblGrid>
        <w:gridCol w:w="990"/>
        <w:gridCol w:w="651"/>
        <w:gridCol w:w="3447"/>
        <w:gridCol w:w="2243"/>
      </w:tblGrid>
      <w:tr w:rsidR="009337B4" w:rsidRPr="001540AC" w:rsidTr="00F17E9A">
        <w:trPr>
          <w:trHeight w:val="647"/>
        </w:trPr>
        <w:tc>
          <w:tcPr>
            <w:tcW w:w="5621" w:type="dxa"/>
            <w:gridSpan w:val="3"/>
            <w:vAlign w:val="center"/>
          </w:tcPr>
          <w:p w:rsidR="009337B4" w:rsidRPr="00711947" w:rsidRDefault="0009552F" w:rsidP="0036257B">
            <w:pPr>
              <w:pStyle w:val="NoSpacing"/>
              <w:spacing w:line="480" w:lineRule="auto"/>
              <w:ind w:firstLine="720"/>
              <w:rPr>
                <w:rFonts w:ascii="Times New Roman" w:hAnsi="Times New Roman"/>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den>
                </m:f>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den>
                </m:f>
                <m:r>
                  <w:rPr>
                    <w:rFonts w:ascii="Cambria Math" w:hAnsi="Cambria Math"/>
                    <w:sz w:val="24"/>
                    <w:szCs w:val="24"/>
                  </w:rPr>
                  <m:t>-1</m:t>
                </m:r>
              </m:oMath>
            </m:oMathPara>
          </w:p>
        </w:tc>
        <w:tc>
          <w:tcPr>
            <w:tcW w:w="2516" w:type="dxa"/>
            <w:vAlign w:val="center"/>
          </w:tcPr>
          <w:p w:rsidR="009337B4" w:rsidRPr="001540AC" w:rsidRDefault="009337B4" w:rsidP="0036257B">
            <w:pPr>
              <w:pStyle w:val="NoSpacing"/>
              <w:spacing w:line="480" w:lineRule="auto"/>
              <w:jc w:val="right"/>
              <w:rPr>
                <w:rFonts w:ascii="Times New Roman" w:hAnsi="Times New Roman"/>
                <w:sz w:val="24"/>
                <w:szCs w:val="24"/>
              </w:rPr>
            </w:pPr>
            <w:r w:rsidRPr="001540AC">
              <w:rPr>
                <w:rFonts w:ascii="Times New Roman" w:hAnsi="Times New Roman"/>
                <w:sz w:val="24"/>
                <w:szCs w:val="24"/>
              </w:rPr>
              <w:t>(1)</w:t>
            </w:r>
          </w:p>
        </w:tc>
      </w:tr>
      <w:tr w:rsidR="009337B4" w:rsidRPr="001540AC" w:rsidTr="00F17E9A">
        <w:trPr>
          <w:trHeight w:val="647"/>
        </w:trPr>
        <w:tc>
          <w:tcPr>
            <w:tcW w:w="5621" w:type="dxa"/>
            <w:gridSpan w:val="3"/>
            <w:vAlign w:val="center"/>
          </w:tcPr>
          <w:p w:rsidR="009337B4" w:rsidRPr="009B531F" w:rsidRDefault="0009552F" w:rsidP="0036257B">
            <w:pPr>
              <w:pStyle w:val="NoSpacing"/>
              <w:spacing w:line="480" w:lineRule="auto"/>
              <w:ind w:firstLine="720"/>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hAnsi="Cambria Math"/>
                    <w:sz w:val="24"/>
                    <w:szCs w:val="24"/>
                  </w:rPr>
                  <m:t>=ln</m:t>
                </m:r>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den>
                    </m:f>
                  </m:e>
                </m:d>
                <m:r>
                  <w:rPr>
                    <w:rFonts w:ascii="Cambria Math" w:hAnsi="Cambria Math"/>
                    <w:sz w:val="24"/>
                    <w:szCs w:val="24"/>
                  </w:rPr>
                  <m:t>=ln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e>
                </m:d>
                <m:r>
                  <w:rPr>
                    <w:rFonts w:ascii="Cambria Math" w:hAnsi="Cambria Math"/>
                    <w:sz w:val="24"/>
                    <w:szCs w:val="24"/>
                  </w:rPr>
                  <m:t>-ln</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e>
                </m:d>
              </m:oMath>
            </m:oMathPara>
          </w:p>
        </w:tc>
        <w:tc>
          <w:tcPr>
            <w:tcW w:w="2516" w:type="dxa"/>
            <w:vAlign w:val="center"/>
          </w:tcPr>
          <w:p w:rsidR="009337B4" w:rsidRPr="00ED313D" w:rsidRDefault="009337B4" w:rsidP="0036257B">
            <w:pPr>
              <w:pStyle w:val="NoSpacing"/>
              <w:spacing w:line="480" w:lineRule="auto"/>
              <w:jc w:val="right"/>
              <w:rPr>
                <w:rFonts w:ascii="Times New Roman" w:hAnsi="Times New Roman"/>
                <w:sz w:val="24"/>
                <w:szCs w:val="24"/>
              </w:rPr>
            </w:pPr>
            <w:r>
              <w:rPr>
                <w:rFonts w:ascii="Times New Roman" w:hAnsi="Times New Roman"/>
                <w:sz w:val="24"/>
                <w:szCs w:val="24"/>
              </w:rPr>
              <w:t>(2)</w:t>
            </w:r>
          </w:p>
        </w:tc>
      </w:tr>
      <w:tr w:rsidR="009337B4" w:rsidRPr="001540AC" w:rsidTr="00F17E9A">
        <w:tc>
          <w:tcPr>
            <w:tcW w:w="991" w:type="dxa"/>
          </w:tcPr>
          <w:p w:rsidR="009337B4" w:rsidRPr="001540AC" w:rsidRDefault="009337B4" w:rsidP="0036257B">
            <w:pPr>
              <w:pStyle w:val="NoSpacing"/>
              <w:spacing w:line="480" w:lineRule="auto"/>
              <w:jc w:val="both"/>
              <w:rPr>
                <w:rFonts w:ascii="Times New Roman" w:hAnsi="Times New Roman"/>
                <w:sz w:val="24"/>
                <w:szCs w:val="24"/>
              </w:rPr>
            </w:pPr>
            <w:r w:rsidRPr="001540AC">
              <w:rPr>
                <w:rFonts w:ascii="Times New Roman" w:hAnsi="Times New Roman"/>
                <w:sz w:val="24"/>
                <w:szCs w:val="24"/>
              </w:rPr>
              <w:t>dimana:</w:t>
            </w:r>
          </w:p>
        </w:tc>
        <w:tc>
          <w:tcPr>
            <w:tcW w:w="651" w:type="dxa"/>
          </w:tcPr>
          <w:p w:rsidR="009337B4" w:rsidRPr="001540AC" w:rsidRDefault="0009552F" w:rsidP="0036257B">
            <w:pPr>
              <w:pStyle w:val="NoSpacing"/>
              <w:spacing w:line="480" w:lineRule="auto"/>
              <w:jc w:val="both"/>
              <w:rPr>
                <w:rFonts w:ascii="Times New Roman" w:hAnsi="Times New Roman"/>
                <w:sz w:val="24"/>
                <w:szCs w:val="24"/>
              </w:rPr>
            </w:pPr>
            <m:oMathPara>
              <m:oMathParaPr>
                <m:jc m:val="center"/>
              </m:oMathPara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oMath>
            </m:oMathPara>
          </w:p>
        </w:tc>
        <w:tc>
          <w:tcPr>
            <w:tcW w:w="6495" w:type="dxa"/>
            <w:gridSpan w:val="2"/>
          </w:tcPr>
          <w:p w:rsidR="009337B4" w:rsidRPr="001540AC" w:rsidRDefault="009337B4" w:rsidP="0036257B">
            <w:pPr>
              <w:pStyle w:val="NoSpacing"/>
              <w:spacing w:line="480" w:lineRule="auto"/>
              <w:jc w:val="both"/>
              <w:rPr>
                <w:rFonts w:ascii="Times New Roman" w:hAnsi="Times New Roman"/>
                <w:b/>
                <w:sz w:val="24"/>
                <w:szCs w:val="24"/>
              </w:rPr>
            </w:pPr>
            <w:r w:rsidRPr="001540AC">
              <w:rPr>
                <w:rFonts w:ascii="Times New Roman" w:hAnsi="Times New Roman"/>
                <w:sz w:val="24"/>
                <w:szCs w:val="24"/>
              </w:rPr>
              <w:t xml:space="preserve">: adalah </w:t>
            </w:r>
            <w:r w:rsidRPr="001540AC">
              <w:rPr>
                <w:rFonts w:ascii="Times New Roman" w:hAnsi="Times New Roman"/>
                <w:i/>
                <w:sz w:val="24"/>
                <w:szCs w:val="24"/>
              </w:rPr>
              <w:t>simple net return</w:t>
            </w:r>
            <w:r w:rsidRPr="001540AC">
              <w:rPr>
                <w:rFonts w:ascii="Times New Roman" w:hAnsi="Times New Roman"/>
                <w:sz w:val="24"/>
                <w:szCs w:val="24"/>
              </w:rPr>
              <w:t xml:space="preserve">  pada periode t</w:t>
            </w:r>
          </w:p>
        </w:tc>
      </w:tr>
      <w:tr w:rsidR="009337B4" w:rsidRPr="001540AC" w:rsidTr="00F17E9A">
        <w:tc>
          <w:tcPr>
            <w:tcW w:w="991" w:type="dxa"/>
          </w:tcPr>
          <w:p w:rsidR="009337B4" w:rsidRPr="001540AC" w:rsidRDefault="009337B4" w:rsidP="0036257B">
            <w:pPr>
              <w:pStyle w:val="NoSpacing"/>
              <w:spacing w:line="480" w:lineRule="auto"/>
              <w:jc w:val="both"/>
              <w:rPr>
                <w:rFonts w:ascii="Times New Roman" w:hAnsi="Times New Roman"/>
                <w:sz w:val="24"/>
                <w:szCs w:val="24"/>
              </w:rPr>
            </w:pPr>
          </w:p>
        </w:tc>
        <w:tc>
          <w:tcPr>
            <w:tcW w:w="651" w:type="dxa"/>
          </w:tcPr>
          <w:p w:rsidR="009337B4" w:rsidRPr="009B531F" w:rsidRDefault="0009552F" w:rsidP="0036257B">
            <w:pPr>
              <w:pStyle w:val="NoSpacing"/>
              <w:spacing w:line="48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oMath>
            </m:oMathPara>
          </w:p>
        </w:tc>
        <w:tc>
          <w:tcPr>
            <w:tcW w:w="6495" w:type="dxa"/>
            <w:gridSpan w:val="2"/>
          </w:tcPr>
          <w:p w:rsidR="009337B4" w:rsidRPr="001540AC" w:rsidRDefault="009337B4" w:rsidP="0036257B">
            <w:pPr>
              <w:pStyle w:val="NoSpacing"/>
              <w:spacing w:line="480" w:lineRule="auto"/>
              <w:jc w:val="both"/>
              <w:rPr>
                <w:rFonts w:ascii="Times New Roman" w:hAnsi="Times New Roman"/>
                <w:sz w:val="24"/>
                <w:szCs w:val="24"/>
              </w:rPr>
            </w:pPr>
            <w:r w:rsidRPr="001540AC">
              <w:rPr>
                <w:rFonts w:ascii="Times New Roman" w:hAnsi="Times New Roman"/>
                <w:sz w:val="24"/>
                <w:szCs w:val="24"/>
              </w:rPr>
              <w:t xml:space="preserve">: adalah </w:t>
            </w:r>
            <w:r>
              <w:rPr>
                <w:rFonts w:ascii="Times New Roman" w:hAnsi="Times New Roman"/>
                <w:i/>
                <w:sz w:val="24"/>
                <w:szCs w:val="24"/>
              </w:rPr>
              <w:t>log</w:t>
            </w:r>
            <w:r w:rsidRPr="001540AC">
              <w:rPr>
                <w:rFonts w:ascii="Times New Roman" w:hAnsi="Times New Roman"/>
                <w:i/>
                <w:sz w:val="24"/>
                <w:szCs w:val="24"/>
              </w:rPr>
              <w:t xml:space="preserve"> return</w:t>
            </w:r>
            <w:r w:rsidRPr="001540AC">
              <w:rPr>
                <w:rFonts w:ascii="Times New Roman" w:hAnsi="Times New Roman"/>
                <w:sz w:val="24"/>
                <w:szCs w:val="24"/>
              </w:rPr>
              <w:t xml:space="preserve">  pada periode t</w:t>
            </w:r>
          </w:p>
        </w:tc>
      </w:tr>
      <w:tr w:rsidR="009337B4" w:rsidRPr="001540AC" w:rsidTr="00F17E9A">
        <w:tc>
          <w:tcPr>
            <w:tcW w:w="991" w:type="dxa"/>
          </w:tcPr>
          <w:p w:rsidR="009337B4" w:rsidRPr="001540AC" w:rsidRDefault="009337B4" w:rsidP="0036257B">
            <w:pPr>
              <w:pStyle w:val="NoSpacing"/>
              <w:spacing w:line="480" w:lineRule="auto"/>
              <w:jc w:val="both"/>
              <w:rPr>
                <w:rFonts w:ascii="Times New Roman" w:hAnsi="Times New Roman"/>
                <w:sz w:val="24"/>
                <w:szCs w:val="24"/>
              </w:rPr>
            </w:pPr>
          </w:p>
        </w:tc>
        <w:tc>
          <w:tcPr>
            <w:tcW w:w="651" w:type="dxa"/>
          </w:tcPr>
          <w:p w:rsidR="009337B4" w:rsidRPr="001540AC" w:rsidRDefault="0009552F" w:rsidP="0036257B">
            <w:pPr>
              <w:pStyle w:val="NoSpacing"/>
              <w:spacing w:line="48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oMath>
            </m:oMathPara>
          </w:p>
        </w:tc>
        <w:tc>
          <w:tcPr>
            <w:tcW w:w="6495" w:type="dxa"/>
            <w:gridSpan w:val="2"/>
          </w:tcPr>
          <w:p w:rsidR="009337B4" w:rsidRPr="001540AC" w:rsidRDefault="009337B4" w:rsidP="0036257B">
            <w:pPr>
              <w:pStyle w:val="NoSpacing"/>
              <w:spacing w:line="480" w:lineRule="auto"/>
              <w:jc w:val="both"/>
              <w:rPr>
                <w:rFonts w:ascii="Times New Roman" w:hAnsi="Times New Roman"/>
                <w:sz w:val="24"/>
                <w:szCs w:val="24"/>
              </w:rPr>
            </w:pPr>
            <w:r w:rsidRPr="001540AC">
              <w:rPr>
                <w:rFonts w:ascii="Times New Roman" w:hAnsi="Times New Roman"/>
                <w:sz w:val="24"/>
                <w:szCs w:val="24"/>
              </w:rPr>
              <w:t>: adalah nilai asset pada periode t</w:t>
            </w:r>
          </w:p>
        </w:tc>
      </w:tr>
      <w:tr w:rsidR="009337B4" w:rsidRPr="001540AC" w:rsidTr="00F17E9A">
        <w:tc>
          <w:tcPr>
            <w:tcW w:w="991" w:type="dxa"/>
          </w:tcPr>
          <w:p w:rsidR="009337B4" w:rsidRPr="001540AC" w:rsidRDefault="009337B4" w:rsidP="0036257B">
            <w:pPr>
              <w:pStyle w:val="NoSpacing"/>
              <w:spacing w:line="480" w:lineRule="auto"/>
              <w:jc w:val="both"/>
              <w:rPr>
                <w:rFonts w:ascii="Times New Roman" w:hAnsi="Times New Roman"/>
                <w:sz w:val="24"/>
                <w:szCs w:val="24"/>
              </w:rPr>
            </w:pPr>
          </w:p>
        </w:tc>
        <w:tc>
          <w:tcPr>
            <w:tcW w:w="651" w:type="dxa"/>
          </w:tcPr>
          <w:p w:rsidR="009337B4" w:rsidRPr="001540AC" w:rsidRDefault="0009552F" w:rsidP="0036257B">
            <w:pPr>
              <w:pStyle w:val="NoSpacing"/>
              <w:spacing w:line="48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oMath>
            </m:oMathPara>
          </w:p>
        </w:tc>
        <w:tc>
          <w:tcPr>
            <w:tcW w:w="6495" w:type="dxa"/>
            <w:gridSpan w:val="2"/>
          </w:tcPr>
          <w:p w:rsidR="009337B4" w:rsidRPr="001540AC" w:rsidRDefault="009337B4" w:rsidP="0036257B">
            <w:pPr>
              <w:pStyle w:val="NoSpacing"/>
              <w:spacing w:line="480" w:lineRule="auto"/>
              <w:jc w:val="both"/>
              <w:rPr>
                <w:rFonts w:ascii="Times New Roman" w:hAnsi="Times New Roman"/>
                <w:sz w:val="24"/>
                <w:szCs w:val="24"/>
              </w:rPr>
            </w:pPr>
            <w:r w:rsidRPr="001540AC">
              <w:rPr>
                <w:rFonts w:ascii="Times New Roman" w:hAnsi="Times New Roman"/>
                <w:sz w:val="24"/>
                <w:szCs w:val="24"/>
              </w:rPr>
              <w:t>: adalah nilai asset pada periode t-1</w:t>
            </w:r>
          </w:p>
        </w:tc>
      </w:tr>
    </w:tbl>
    <w:p w:rsidR="0036257B" w:rsidRDefault="0036257B" w:rsidP="009337B4">
      <w:pPr>
        <w:pStyle w:val="NoSpacing"/>
        <w:spacing w:line="360" w:lineRule="auto"/>
        <w:ind w:firstLine="720"/>
        <w:jc w:val="both"/>
        <w:rPr>
          <w:rFonts w:ascii="Times New Roman" w:hAnsi="Times New Roman"/>
          <w:sz w:val="24"/>
          <w:szCs w:val="24"/>
          <w:lang w:val="en-US"/>
        </w:rPr>
      </w:pPr>
    </w:p>
    <w:p w:rsidR="009337B4" w:rsidRPr="00D4352F" w:rsidRDefault="009337B4" w:rsidP="0036257B">
      <w:pPr>
        <w:pStyle w:val="NoSpacing"/>
        <w:spacing w:line="480" w:lineRule="auto"/>
        <w:ind w:firstLine="720"/>
        <w:jc w:val="both"/>
        <w:rPr>
          <w:rFonts w:ascii="Times New Roman" w:hAnsi="Times New Roman"/>
          <w:sz w:val="24"/>
          <w:szCs w:val="24"/>
        </w:rPr>
      </w:pPr>
      <w:r w:rsidRPr="00ED313D">
        <w:rPr>
          <w:rFonts w:ascii="Times New Roman" w:hAnsi="Times New Roman"/>
          <w:sz w:val="24"/>
          <w:szCs w:val="24"/>
        </w:rPr>
        <w:t xml:space="preserve">Dari  persamaan (1) dan (2) dapat diperoleh hubungan </w:t>
      </w:r>
      <w:r w:rsidRPr="00ED313D">
        <w:rPr>
          <w:rFonts w:ascii="Times New Roman" w:hAnsi="Times New Roman"/>
          <w:i/>
          <w:sz w:val="24"/>
          <w:szCs w:val="24"/>
        </w:rPr>
        <w:t>log return</w:t>
      </w:r>
      <w:r w:rsidRPr="00ED313D">
        <w:rPr>
          <w:rFonts w:ascii="Times New Roman" w:hAnsi="Times New Roman"/>
          <w:sz w:val="24"/>
          <w:szCs w:val="24"/>
        </w:rPr>
        <w:t xml:space="preserve">  dan </w:t>
      </w:r>
      <w:r w:rsidRPr="00ED313D">
        <w:rPr>
          <w:rFonts w:ascii="Times New Roman" w:hAnsi="Times New Roman"/>
          <w:i/>
          <w:sz w:val="24"/>
          <w:szCs w:val="24"/>
        </w:rPr>
        <w:t>simple net return</w:t>
      </w:r>
      <w:r>
        <w:rPr>
          <w:rFonts w:ascii="Times New Roman" w:hAnsi="Times New Roman"/>
          <w:sz w:val="24"/>
          <w:szCs w:val="24"/>
        </w:rPr>
        <w:t>, yaitu</w:t>
      </w:r>
      <w:r w:rsidRPr="00ED313D">
        <w:rPr>
          <w:rFonts w:ascii="Times New Roman" w:hAnsi="Times New Roman"/>
          <w:sz w:val="24"/>
          <w:szCs w:val="24"/>
        </w:rPr>
        <w:t>:</w:t>
      </w:r>
      <w:r>
        <w:rPr>
          <w:rFonts w:ascii="Times New Roman" w:hAnsi="Times New Roman"/>
          <w:sz w:val="24"/>
          <w:szCs w:val="24"/>
        </w:rPr>
        <w:t xml:space="preserve"> </w:t>
      </w:r>
      <m:oMath>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hAnsi="Times New Roman"/>
            <w:sz w:val="24"/>
            <w:szCs w:val="24"/>
          </w:rPr>
          <m:t>=</m:t>
        </m:r>
        <m:r>
          <w:rPr>
            <w:rFonts w:ascii="Cambria Math" w:hAnsi="Cambria Math"/>
            <w:sz w:val="24"/>
            <w:szCs w:val="24"/>
          </w:rPr>
          <m:t>ln</m:t>
        </m:r>
        <m:d>
          <m:dPr>
            <m:ctrlPr>
              <w:rPr>
                <w:rFonts w:ascii="Cambria Math" w:hAnsi="Times New Roman"/>
                <w:i/>
                <w:sz w:val="24"/>
                <w:szCs w:val="24"/>
              </w:rPr>
            </m:ctrlPr>
          </m:dPr>
          <m:e>
            <m:sSub>
              <m:sSubPr>
                <m:ctrlPr>
                  <w:rPr>
                    <w:rFonts w:ascii="Cambria Math" w:hAnsi="Times New Roman"/>
                    <w:i/>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hAnsi="Times New Roman"/>
                <w:sz w:val="24"/>
                <w:szCs w:val="24"/>
              </w:rPr>
              <m:t>+1</m:t>
            </m:r>
          </m:e>
        </m:d>
      </m:oMath>
      <w:r>
        <w:rPr>
          <w:rFonts w:ascii="Times New Roman" w:eastAsiaTheme="minorEastAsia" w:hAnsi="Times New Roman"/>
          <w:sz w:val="24"/>
          <w:szCs w:val="24"/>
        </w:rPr>
        <w:t>.</w:t>
      </w:r>
      <w:r>
        <w:rPr>
          <w:rFonts w:ascii="Times New Roman" w:hAnsi="Times New Roman"/>
          <w:sz w:val="24"/>
          <w:szCs w:val="24"/>
        </w:rPr>
        <w:t xml:space="preserve"> </w:t>
      </w:r>
      <w:r w:rsidRPr="001540AC">
        <w:rPr>
          <w:rFonts w:ascii="Times New Roman" w:hAnsi="Times New Roman"/>
          <w:sz w:val="24"/>
          <w:szCs w:val="24"/>
        </w:rPr>
        <w:t xml:space="preserve">Jika terdapat T observasi, maka ekspetasi </w:t>
      </w:r>
      <w:r w:rsidRPr="00ED313D">
        <w:rPr>
          <w:rFonts w:ascii="Times New Roman" w:hAnsi="Times New Roman"/>
          <w:i/>
          <w:sz w:val="24"/>
          <w:szCs w:val="24"/>
        </w:rPr>
        <w:t>return</w:t>
      </w:r>
      <w:r w:rsidRPr="001540AC">
        <w:rPr>
          <w:rFonts w:ascii="Times New Roman" w:hAnsi="Times New Roman"/>
          <w:sz w:val="24"/>
          <w:szCs w:val="24"/>
        </w:rPr>
        <w:t xml:space="preserve"> yang diharapkan dapat dirumuskan sebagai berikut: </w:t>
      </w:r>
    </w:p>
    <w:tbl>
      <w:tblPr>
        <w:tblW w:w="0" w:type="auto"/>
        <w:tblInd w:w="817" w:type="dxa"/>
        <w:tblLook w:val="04A0"/>
      </w:tblPr>
      <w:tblGrid>
        <w:gridCol w:w="5137"/>
        <w:gridCol w:w="2194"/>
      </w:tblGrid>
      <w:tr w:rsidR="009337B4" w:rsidRPr="001540AC" w:rsidTr="00F17E9A">
        <w:trPr>
          <w:trHeight w:val="647"/>
        </w:trPr>
        <w:tc>
          <w:tcPr>
            <w:tcW w:w="5681" w:type="dxa"/>
          </w:tcPr>
          <w:p w:rsidR="009337B4" w:rsidRPr="00C56C74" w:rsidRDefault="009337B4" w:rsidP="00F17E9A">
            <w:pPr>
              <w:pStyle w:val="NoSpacing"/>
              <w:spacing w:line="360" w:lineRule="auto"/>
              <w:ind w:firstLine="720"/>
              <w:jc w:val="both"/>
              <w:rPr>
                <w:rFonts w:ascii="Times New Roman" w:hAnsi="Times New Roman"/>
                <w:sz w:val="24"/>
                <w:szCs w:val="24"/>
              </w:rPr>
            </w:pPr>
            <m:oMathPara>
              <m:oMathParaPr>
                <m:jc m:val="center"/>
              </m:oMathParaPr>
              <m:oMath>
                <m:r>
                  <w:rPr>
                    <w:rFonts w:ascii="Cambria Math" w:hAnsi="Cambria Math"/>
                    <w:sz w:val="24"/>
                    <w:szCs w:val="24"/>
                  </w:rPr>
                  <m:t>E</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e>
                </m:d>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R</m:t>
                    </m:r>
                  </m:e>
                </m:acc>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t=1</m:t>
                        </m:r>
                      </m:sub>
                      <m:sup>
                        <m:r>
                          <w:rPr>
                            <w:rFonts w:ascii="Cambria Math" w:hAnsi="Cambria Math"/>
                            <w:sz w:val="24"/>
                            <w:szCs w:val="24"/>
                          </w:rPr>
                          <m:t>T</m:t>
                        </m:r>
                      </m:sup>
                      <m:e>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t</m:t>
                            </m:r>
                          </m:sub>
                        </m:sSub>
                      </m:e>
                    </m:nary>
                  </m:num>
                  <m:den>
                    <m:r>
                      <w:rPr>
                        <w:rFonts w:ascii="Cambria Math" w:hAnsi="Cambria Math"/>
                        <w:sz w:val="24"/>
                        <w:szCs w:val="24"/>
                      </w:rPr>
                      <m:t>T</m:t>
                    </m:r>
                  </m:den>
                </m:f>
              </m:oMath>
            </m:oMathPara>
          </w:p>
        </w:tc>
        <w:tc>
          <w:tcPr>
            <w:tcW w:w="2430" w:type="dxa"/>
            <w:vAlign w:val="center"/>
          </w:tcPr>
          <w:p w:rsidR="009337B4" w:rsidRPr="001540AC" w:rsidRDefault="009337B4" w:rsidP="00F17E9A">
            <w:pPr>
              <w:pStyle w:val="NoSpacing"/>
              <w:spacing w:line="360" w:lineRule="auto"/>
              <w:jc w:val="right"/>
              <w:rPr>
                <w:rFonts w:ascii="Times New Roman" w:hAnsi="Times New Roman"/>
                <w:sz w:val="24"/>
                <w:szCs w:val="24"/>
              </w:rPr>
            </w:pPr>
            <w:r w:rsidRPr="001540AC">
              <w:rPr>
                <w:rFonts w:ascii="Times New Roman" w:hAnsi="Times New Roman"/>
                <w:sz w:val="24"/>
                <w:szCs w:val="24"/>
              </w:rPr>
              <w:t>(</w:t>
            </w:r>
            <w:r>
              <w:rPr>
                <w:rFonts w:ascii="Times New Roman" w:hAnsi="Times New Roman"/>
                <w:sz w:val="24"/>
                <w:szCs w:val="24"/>
              </w:rPr>
              <w:t>3</w:t>
            </w:r>
            <w:r w:rsidRPr="001540AC">
              <w:rPr>
                <w:rFonts w:ascii="Times New Roman" w:hAnsi="Times New Roman"/>
                <w:sz w:val="24"/>
                <w:szCs w:val="24"/>
              </w:rPr>
              <w:t>)</w:t>
            </w:r>
          </w:p>
        </w:tc>
      </w:tr>
    </w:tbl>
    <w:p w:rsidR="000F5CCD" w:rsidRDefault="000F5CCD" w:rsidP="00CC18B0">
      <w:pPr>
        <w:pStyle w:val="NoSpacing"/>
        <w:spacing w:line="360" w:lineRule="auto"/>
        <w:jc w:val="both"/>
        <w:rPr>
          <w:rFonts w:ascii="Times New Roman" w:hAnsi="Times New Roman"/>
          <w:b/>
          <w:sz w:val="24"/>
          <w:szCs w:val="24"/>
          <w:lang w:val="en-US"/>
        </w:rPr>
      </w:pPr>
    </w:p>
    <w:p w:rsidR="0036257B" w:rsidRDefault="00416CC1" w:rsidP="00DA1A1B">
      <w:pPr>
        <w:pStyle w:val="NoSpacing"/>
        <w:spacing w:line="480" w:lineRule="auto"/>
        <w:jc w:val="both"/>
        <w:rPr>
          <w:rFonts w:ascii="Times New Roman" w:hAnsi="Times New Roman"/>
          <w:b/>
          <w:sz w:val="24"/>
          <w:szCs w:val="24"/>
          <w:lang w:val="en-US"/>
        </w:rPr>
      </w:pPr>
      <w:r>
        <w:rPr>
          <w:rFonts w:ascii="Times New Roman" w:hAnsi="Times New Roman"/>
          <w:b/>
          <w:sz w:val="24"/>
          <w:szCs w:val="24"/>
          <w:lang w:val="en-US"/>
        </w:rPr>
        <w:t>2</w:t>
      </w:r>
      <w:r w:rsidR="009C4A9F" w:rsidRPr="006F6DEE">
        <w:rPr>
          <w:rFonts w:ascii="Times New Roman" w:hAnsi="Times New Roman"/>
          <w:b/>
          <w:sz w:val="24"/>
          <w:szCs w:val="24"/>
        </w:rPr>
        <w:t>.</w:t>
      </w:r>
      <w:r w:rsidR="009337B4">
        <w:rPr>
          <w:rFonts w:ascii="Times New Roman" w:hAnsi="Times New Roman"/>
          <w:b/>
          <w:sz w:val="24"/>
          <w:szCs w:val="24"/>
          <w:lang w:val="en-US"/>
        </w:rPr>
        <w:t>3</w:t>
      </w:r>
      <w:r w:rsidR="009C4A9F" w:rsidRPr="006F6DEE">
        <w:rPr>
          <w:rFonts w:ascii="Times New Roman" w:hAnsi="Times New Roman"/>
          <w:b/>
          <w:sz w:val="24"/>
          <w:szCs w:val="24"/>
        </w:rPr>
        <w:t xml:space="preserve"> </w:t>
      </w:r>
      <w:r w:rsidR="00CC18B0" w:rsidRPr="006F6DEE">
        <w:rPr>
          <w:rFonts w:ascii="Times New Roman" w:hAnsi="Times New Roman"/>
          <w:b/>
          <w:sz w:val="24"/>
          <w:szCs w:val="24"/>
          <w:lang w:val="en-US"/>
        </w:rPr>
        <w:t xml:space="preserve">Resiko dan </w:t>
      </w:r>
      <w:r w:rsidR="00CC18B0" w:rsidRPr="006F6DEE">
        <w:rPr>
          <w:rFonts w:ascii="Times New Roman" w:hAnsi="Times New Roman"/>
          <w:b/>
          <w:i/>
          <w:sz w:val="24"/>
          <w:szCs w:val="24"/>
          <w:lang w:val="en-US"/>
        </w:rPr>
        <w:t>Value at Risk</w:t>
      </w:r>
      <w:r w:rsidR="00CC18B0" w:rsidRPr="006F6DEE">
        <w:rPr>
          <w:rFonts w:ascii="Times New Roman" w:hAnsi="Times New Roman"/>
          <w:b/>
          <w:sz w:val="24"/>
          <w:szCs w:val="24"/>
          <w:lang w:val="en-US"/>
        </w:rPr>
        <w:t xml:space="preserve"> (VaR)</w:t>
      </w:r>
    </w:p>
    <w:p w:rsidR="00E02E4F" w:rsidRPr="0036257B" w:rsidRDefault="0085517F" w:rsidP="00DA1A1B">
      <w:pPr>
        <w:pStyle w:val="NoSpacing"/>
        <w:spacing w:line="480" w:lineRule="auto"/>
        <w:ind w:firstLine="720"/>
        <w:jc w:val="both"/>
        <w:rPr>
          <w:rFonts w:ascii="Times New Roman" w:hAnsi="Times New Roman"/>
          <w:b/>
          <w:sz w:val="24"/>
          <w:szCs w:val="24"/>
          <w:lang w:val="en-US"/>
        </w:rPr>
      </w:pPr>
      <w:r w:rsidRPr="006F6DEE">
        <w:rPr>
          <w:rFonts w:ascii="Times New Roman" w:hAnsi="Times New Roman"/>
          <w:sz w:val="24"/>
          <w:szCs w:val="24"/>
        </w:rPr>
        <w:t>R</w:t>
      </w:r>
      <w:r w:rsidR="00E02E4F" w:rsidRPr="006F6DEE">
        <w:rPr>
          <w:rFonts w:ascii="Times New Roman" w:hAnsi="Times New Roman"/>
          <w:sz w:val="24"/>
          <w:szCs w:val="24"/>
        </w:rPr>
        <w:t>esiko (</w:t>
      </w:r>
      <w:r w:rsidR="00E02E4F" w:rsidRPr="006F6DEE">
        <w:rPr>
          <w:rFonts w:ascii="Times New Roman" w:hAnsi="Times New Roman"/>
          <w:i/>
          <w:sz w:val="24"/>
          <w:szCs w:val="24"/>
        </w:rPr>
        <w:t>risk</w:t>
      </w:r>
      <w:r w:rsidR="00E02E4F" w:rsidRPr="006F6DEE">
        <w:rPr>
          <w:rFonts w:ascii="Times New Roman" w:hAnsi="Times New Roman"/>
          <w:sz w:val="24"/>
          <w:szCs w:val="24"/>
        </w:rPr>
        <w:t>) adalah tingkat ketidakpastian akan terjadinya s</w:t>
      </w:r>
      <w:r w:rsidR="009B505C" w:rsidRPr="006F6DEE">
        <w:rPr>
          <w:rFonts w:ascii="Times New Roman" w:hAnsi="Times New Roman"/>
          <w:sz w:val="24"/>
          <w:szCs w:val="24"/>
        </w:rPr>
        <w:t xml:space="preserve">esuatu atau tidak terwujudnya </w:t>
      </w:r>
      <w:r w:rsidR="00E02E4F" w:rsidRPr="006F6DEE">
        <w:rPr>
          <w:rFonts w:ascii="Times New Roman" w:hAnsi="Times New Roman"/>
          <w:sz w:val="24"/>
          <w:szCs w:val="24"/>
        </w:rPr>
        <w:t>suatu tujuan, pada kurun atau periode waktu tertentu</w:t>
      </w:r>
      <w:r w:rsidR="00E02E4F" w:rsidRPr="006F6DEE">
        <w:rPr>
          <w:rStyle w:val="FootnoteReference"/>
          <w:rFonts w:ascii="Times New Roman" w:hAnsi="Times New Roman"/>
          <w:sz w:val="24"/>
          <w:szCs w:val="24"/>
        </w:rPr>
        <w:t xml:space="preserve"> </w:t>
      </w:r>
      <w:r w:rsidR="00E02E4F" w:rsidRPr="006F6DEE">
        <w:rPr>
          <w:rStyle w:val="FootnoteReference"/>
          <w:rFonts w:ascii="Times New Roman" w:hAnsi="Times New Roman"/>
          <w:sz w:val="24"/>
          <w:szCs w:val="24"/>
          <w:vertAlign w:val="baseline"/>
        </w:rPr>
        <w:t>(Batuparan, 2000)</w:t>
      </w:r>
      <w:r w:rsidR="00E02E4F" w:rsidRPr="006F6DEE">
        <w:rPr>
          <w:rFonts w:ascii="Times New Roman" w:hAnsi="Times New Roman"/>
          <w:sz w:val="24"/>
          <w:szCs w:val="24"/>
        </w:rPr>
        <w:t>. Salah satu alat pengukuran resi</w:t>
      </w:r>
      <w:r w:rsidR="009B505C" w:rsidRPr="006F6DEE">
        <w:rPr>
          <w:rFonts w:ascii="Times New Roman" w:hAnsi="Times New Roman"/>
          <w:sz w:val="24"/>
          <w:szCs w:val="24"/>
        </w:rPr>
        <w:t xml:space="preserve">ko yang </w:t>
      </w:r>
      <w:r w:rsidR="009B505C" w:rsidRPr="006F6DEE">
        <w:rPr>
          <w:rFonts w:ascii="Times New Roman" w:hAnsi="Times New Roman"/>
          <w:sz w:val="24"/>
          <w:szCs w:val="24"/>
          <w:lang w:val="en-US"/>
        </w:rPr>
        <w:t>banyak direkomendasikan karena variasi modelnya yang fleksibel</w:t>
      </w:r>
      <w:r w:rsidRPr="006F6DEE">
        <w:rPr>
          <w:rFonts w:ascii="Times New Roman" w:hAnsi="Times New Roman"/>
          <w:sz w:val="24"/>
          <w:szCs w:val="24"/>
        </w:rPr>
        <w:t xml:space="preserve"> </w:t>
      </w:r>
      <w:r w:rsidR="009B505C" w:rsidRPr="006F6DEE">
        <w:rPr>
          <w:rFonts w:ascii="Times New Roman" w:hAnsi="Times New Roman"/>
          <w:sz w:val="24"/>
          <w:szCs w:val="24"/>
          <w:lang w:val="en-US"/>
        </w:rPr>
        <w:t xml:space="preserve">untuk </w:t>
      </w:r>
      <w:r w:rsidRPr="006F6DEE">
        <w:rPr>
          <w:rFonts w:ascii="Times New Roman" w:hAnsi="Times New Roman"/>
          <w:sz w:val="24"/>
          <w:szCs w:val="24"/>
        </w:rPr>
        <w:t xml:space="preserve">digunakan adalah </w:t>
      </w:r>
      <w:r w:rsidRPr="006F6DEE">
        <w:rPr>
          <w:rFonts w:ascii="Times New Roman" w:hAnsi="Times New Roman"/>
          <w:i/>
          <w:sz w:val="24"/>
          <w:szCs w:val="24"/>
        </w:rPr>
        <w:t>Value at risk</w:t>
      </w:r>
      <w:r w:rsidRPr="006F6DEE">
        <w:rPr>
          <w:rFonts w:ascii="Times New Roman" w:hAnsi="Times New Roman"/>
          <w:sz w:val="24"/>
          <w:szCs w:val="24"/>
        </w:rPr>
        <w:t xml:space="preserve"> (VaR).</w:t>
      </w:r>
    </w:p>
    <w:p w:rsidR="00CC18B0" w:rsidRPr="006F6DEE" w:rsidRDefault="00CC18B0" w:rsidP="00DA1A1B">
      <w:pPr>
        <w:pStyle w:val="NoSpacing"/>
        <w:spacing w:line="480" w:lineRule="auto"/>
        <w:ind w:firstLine="720"/>
        <w:jc w:val="both"/>
        <w:rPr>
          <w:rFonts w:ascii="Times New Roman" w:hAnsi="Times New Roman"/>
          <w:sz w:val="24"/>
          <w:szCs w:val="24"/>
        </w:rPr>
      </w:pPr>
      <w:r w:rsidRPr="006F6DEE">
        <w:rPr>
          <w:rFonts w:ascii="Times New Roman" w:hAnsi="Times New Roman"/>
          <w:i/>
          <w:sz w:val="24"/>
          <w:szCs w:val="24"/>
        </w:rPr>
        <w:lastRenderedPageBreak/>
        <w:t>Value at Risk</w:t>
      </w:r>
      <w:r w:rsidRPr="006F6DEE">
        <w:rPr>
          <w:rFonts w:ascii="Times New Roman" w:hAnsi="Times New Roman"/>
          <w:sz w:val="24"/>
          <w:szCs w:val="24"/>
        </w:rPr>
        <w:t xml:space="preserve"> (VaR) merupakan kerugian terbesar yang mungkin terjadi dalam rentang waktu/ periode tertentu yang diprediksi dengan tingkat kepercayaan tertentu (Jorion, 2002). Secara matematis, VaR dapat diformulasikan sebagai berikut:</w:t>
      </w:r>
    </w:p>
    <w:tbl>
      <w:tblPr>
        <w:tblW w:w="0" w:type="auto"/>
        <w:tblInd w:w="817" w:type="dxa"/>
        <w:tblLook w:val="04A0"/>
      </w:tblPr>
      <w:tblGrid>
        <w:gridCol w:w="991"/>
        <w:gridCol w:w="570"/>
        <w:gridCol w:w="468"/>
        <w:gridCol w:w="1672"/>
        <w:gridCol w:w="3630"/>
      </w:tblGrid>
      <w:tr w:rsidR="00CC18B0" w:rsidRPr="006F6DEE" w:rsidTr="00C50D91">
        <w:tc>
          <w:tcPr>
            <w:tcW w:w="2149" w:type="dxa"/>
            <w:gridSpan w:val="3"/>
            <w:vAlign w:val="center"/>
          </w:tcPr>
          <w:p w:rsidR="00CC18B0" w:rsidRPr="006F6DEE" w:rsidRDefault="00CC18B0" w:rsidP="00DA1A1B">
            <w:pPr>
              <w:pStyle w:val="NoSpacing"/>
              <w:spacing w:line="480" w:lineRule="auto"/>
              <w:jc w:val="right"/>
              <w:rPr>
                <w:rFonts w:ascii="Times New Roman" w:hAnsi="Times New Roman"/>
                <w:sz w:val="24"/>
                <w:szCs w:val="24"/>
              </w:rPr>
            </w:pPr>
            <m:oMathPara>
              <m:oMathParaPr>
                <m:jc m:val="right"/>
              </m:oMathParaPr>
              <m:oMath>
                <m:r>
                  <w:rPr>
                    <w:rFonts w:ascii="Cambria Math" w:hAnsi="Cambria Math"/>
                    <w:sz w:val="24"/>
                    <w:szCs w:val="24"/>
                  </w:rPr>
                  <m:t>VaR</m:t>
                </m:r>
              </m:oMath>
            </m:oMathPara>
          </w:p>
        </w:tc>
        <w:tc>
          <w:tcPr>
            <w:tcW w:w="1706" w:type="dxa"/>
            <w:vAlign w:val="center"/>
          </w:tcPr>
          <w:p w:rsidR="00CC18B0" w:rsidRPr="006F6DEE" w:rsidRDefault="0009552F" w:rsidP="00DA1A1B">
            <w:pPr>
              <w:pStyle w:val="NoSpacing"/>
              <w:spacing w:line="480" w:lineRule="auto"/>
              <w:jc w:val="both"/>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o</m:t>
                    </m:r>
                  </m:sub>
                </m:sSub>
                <m:r>
                  <w:rPr>
                    <w:rFonts w:ascii="Cambria Math" w:hAnsi="Cambria Math"/>
                    <w:sz w:val="24"/>
                    <w:szCs w:val="24"/>
                  </w:rPr>
                  <m:t>.σ.α.</m:t>
                </m:r>
                <m:rad>
                  <m:radPr>
                    <m:degHide m:val="on"/>
                    <m:ctrlPr>
                      <w:rPr>
                        <w:rFonts w:ascii="Cambria Math" w:hAnsi="Cambria Math"/>
                        <w:i/>
                        <w:sz w:val="24"/>
                        <w:szCs w:val="24"/>
                      </w:rPr>
                    </m:ctrlPr>
                  </m:radPr>
                  <m:deg/>
                  <m:e>
                    <m:r>
                      <w:rPr>
                        <w:rFonts w:ascii="Cambria Math" w:hAnsi="Cambria Math"/>
                        <w:sz w:val="24"/>
                        <w:szCs w:val="24"/>
                      </w:rPr>
                      <m:t>t</m:t>
                    </m:r>
                  </m:e>
                </m:rad>
              </m:oMath>
            </m:oMathPara>
          </w:p>
        </w:tc>
        <w:tc>
          <w:tcPr>
            <w:tcW w:w="4256" w:type="dxa"/>
            <w:vAlign w:val="center"/>
          </w:tcPr>
          <w:p w:rsidR="00CC18B0" w:rsidRPr="006F6DEE" w:rsidRDefault="00CC18B0" w:rsidP="00DA1A1B">
            <w:pPr>
              <w:pStyle w:val="NoSpacing"/>
              <w:spacing w:line="480" w:lineRule="auto"/>
              <w:jc w:val="right"/>
              <w:rPr>
                <w:rFonts w:ascii="Times New Roman" w:hAnsi="Times New Roman"/>
                <w:sz w:val="24"/>
                <w:szCs w:val="24"/>
              </w:rPr>
            </w:pPr>
            <w:r w:rsidRPr="006F6DEE">
              <w:rPr>
                <w:rFonts w:ascii="Times New Roman" w:hAnsi="Times New Roman"/>
                <w:sz w:val="24"/>
                <w:szCs w:val="24"/>
              </w:rPr>
              <w:t>(</w:t>
            </w:r>
            <w:r w:rsidR="009337B4">
              <w:rPr>
                <w:rFonts w:ascii="Times New Roman" w:hAnsi="Times New Roman"/>
                <w:sz w:val="24"/>
                <w:szCs w:val="24"/>
                <w:lang w:val="en-US"/>
              </w:rPr>
              <w:t>4</w:t>
            </w:r>
            <w:r w:rsidRPr="006F6DEE">
              <w:rPr>
                <w:rFonts w:ascii="Times New Roman" w:hAnsi="Times New Roman"/>
                <w:sz w:val="24"/>
                <w:szCs w:val="24"/>
              </w:rPr>
              <w:t>)</w:t>
            </w:r>
          </w:p>
        </w:tc>
      </w:tr>
      <w:tr w:rsidR="00CC18B0" w:rsidRPr="006F6DEE" w:rsidTr="00C50D91">
        <w:tc>
          <w:tcPr>
            <w:tcW w:w="991" w:type="dxa"/>
          </w:tcPr>
          <w:p w:rsidR="00CC18B0" w:rsidRPr="006F6DEE" w:rsidRDefault="00CC18B0" w:rsidP="00DA1A1B">
            <w:pPr>
              <w:pStyle w:val="NoSpacing"/>
              <w:spacing w:line="480" w:lineRule="auto"/>
              <w:jc w:val="both"/>
              <w:rPr>
                <w:rFonts w:ascii="Times New Roman" w:hAnsi="Times New Roman"/>
                <w:sz w:val="24"/>
                <w:szCs w:val="24"/>
              </w:rPr>
            </w:pPr>
            <w:r w:rsidRPr="006F6DEE">
              <w:rPr>
                <w:rFonts w:ascii="Times New Roman" w:hAnsi="Times New Roman"/>
                <w:sz w:val="24"/>
                <w:szCs w:val="24"/>
              </w:rPr>
              <w:t>dimana:</w:t>
            </w:r>
          </w:p>
        </w:tc>
        <w:tc>
          <w:tcPr>
            <w:tcW w:w="598" w:type="dxa"/>
          </w:tcPr>
          <w:p w:rsidR="00CC18B0" w:rsidRPr="006F6DEE" w:rsidRDefault="00CC18B0" w:rsidP="00DA1A1B">
            <w:pPr>
              <w:pStyle w:val="NoSpacing"/>
              <w:spacing w:line="480" w:lineRule="auto"/>
              <w:jc w:val="both"/>
              <w:rPr>
                <w:rFonts w:ascii="Times New Roman" w:hAnsi="Times New Roman"/>
                <w:sz w:val="24"/>
                <w:szCs w:val="24"/>
              </w:rPr>
            </w:pPr>
            <w:r w:rsidRPr="006F6DEE">
              <w:rPr>
                <w:rFonts w:ascii="Times New Roman" w:hAnsi="Times New Roman"/>
                <w:position w:val="-12"/>
                <w:sz w:val="24"/>
                <w:szCs w:val="24"/>
              </w:rPr>
              <w:t xml:space="preserve"> </w:t>
            </w:r>
            <m:oMath>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o</m:t>
                  </m:r>
                </m:sub>
              </m:sSub>
            </m:oMath>
          </w:p>
        </w:tc>
        <w:tc>
          <w:tcPr>
            <w:tcW w:w="6522" w:type="dxa"/>
            <w:gridSpan w:val="3"/>
          </w:tcPr>
          <w:p w:rsidR="00CC18B0" w:rsidRPr="006F6DEE" w:rsidRDefault="00CC18B0" w:rsidP="00DA1A1B">
            <w:pPr>
              <w:pStyle w:val="NoSpacing"/>
              <w:spacing w:line="480" w:lineRule="auto"/>
              <w:jc w:val="both"/>
              <w:rPr>
                <w:rFonts w:ascii="Times New Roman" w:hAnsi="Times New Roman"/>
                <w:sz w:val="24"/>
                <w:szCs w:val="24"/>
              </w:rPr>
            </w:pPr>
            <w:r w:rsidRPr="006F6DEE">
              <w:rPr>
                <w:rFonts w:ascii="Times New Roman" w:hAnsi="Times New Roman"/>
                <w:sz w:val="24"/>
                <w:szCs w:val="24"/>
              </w:rPr>
              <w:t>: adalah nilai asset atau nilai investasi awal</w:t>
            </w:r>
          </w:p>
        </w:tc>
      </w:tr>
      <w:tr w:rsidR="00CC18B0" w:rsidRPr="006F6DEE" w:rsidTr="00C50D91">
        <w:tc>
          <w:tcPr>
            <w:tcW w:w="991" w:type="dxa"/>
          </w:tcPr>
          <w:p w:rsidR="00CC18B0" w:rsidRPr="006F6DEE" w:rsidRDefault="00CC18B0" w:rsidP="00DA1A1B">
            <w:pPr>
              <w:pStyle w:val="NoSpacing"/>
              <w:spacing w:line="480" w:lineRule="auto"/>
              <w:jc w:val="both"/>
              <w:rPr>
                <w:rFonts w:ascii="Times New Roman" w:hAnsi="Times New Roman"/>
                <w:sz w:val="24"/>
                <w:szCs w:val="24"/>
              </w:rPr>
            </w:pPr>
          </w:p>
        </w:tc>
        <w:tc>
          <w:tcPr>
            <w:tcW w:w="598" w:type="dxa"/>
          </w:tcPr>
          <w:p w:rsidR="00CC18B0" w:rsidRPr="006F6DEE" w:rsidRDefault="00CC18B0" w:rsidP="00DA1A1B">
            <w:pPr>
              <w:pStyle w:val="NoSpacing"/>
              <w:spacing w:line="480" w:lineRule="auto"/>
              <w:jc w:val="both"/>
              <w:rPr>
                <w:rFonts w:ascii="Times New Roman" w:hAnsi="Times New Roman"/>
                <w:sz w:val="24"/>
                <w:szCs w:val="24"/>
              </w:rPr>
            </w:pPr>
            <m:oMathPara>
              <m:oMath>
                <m:r>
                  <w:rPr>
                    <w:rFonts w:ascii="Cambria Math" w:hAnsi="Cambria Math"/>
                    <w:sz w:val="24"/>
                    <w:szCs w:val="24"/>
                  </w:rPr>
                  <m:t>σ</m:t>
                </m:r>
              </m:oMath>
            </m:oMathPara>
          </w:p>
        </w:tc>
        <w:tc>
          <w:tcPr>
            <w:tcW w:w="6522" w:type="dxa"/>
            <w:gridSpan w:val="3"/>
          </w:tcPr>
          <w:p w:rsidR="00CC18B0" w:rsidRPr="006F6DEE" w:rsidRDefault="00CC18B0" w:rsidP="00DA1A1B">
            <w:pPr>
              <w:pStyle w:val="NoSpacing"/>
              <w:spacing w:line="480" w:lineRule="auto"/>
              <w:jc w:val="both"/>
              <w:rPr>
                <w:rFonts w:ascii="Times New Roman" w:hAnsi="Times New Roman"/>
                <w:sz w:val="24"/>
                <w:szCs w:val="24"/>
              </w:rPr>
            </w:pPr>
            <w:r w:rsidRPr="006F6DEE">
              <w:rPr>
                <w:rFonts w:ascii="Times New Roman" w:hAnsi="Times New Roman"/>
                <w:sz w:val="24"/>
                <w:szCs w:val="24"/>
              </w:rPr>
              <w:t>: adalah estimasi nilai volatilitas</w:t>
            </w:r>
          </w:p>
        </w:tc>
      </w:tr>
      <w:tr w:rsidR="00CC18B0" w:rsidRPr="006F6DEE" w:rsidTr="00C50D91">
        <w:tc>
          <w:tcPr>
            <w:tcW w:w="991" w:type="dxa"/>
          </w:tcPr>
          <w:p w:rsidR="00CC18B0" w:rsidRPr="006F6DEE" w:rsidRDefault="00CC18B0" w:rsidP="00DA1A1B">
            <w:pPr>
              <w:pStyle w:val="NoSpacing"/>
              <w:spacing w:line="480" w:lineRule="auto"/>
              <w:jc w:val="both"/>
              <w:rPr>
                <w:rFonts w:ascii="Times New Roman" w:hAnsi="Times New Roman"/>
                <w:sz w:val="24"/>
                <w:szCs w:val="24"/>
              </w:rPr>
            </w:pPr>
          </w:p>
        </w:tc>
        <w:tc>
          <w:tcPr>
            <w:tcW w:w="598" w:type="dxa"/>
          </w:tcPr>
          <w:p w:rsidR="00CC18B0" w:rsidRPr="006F6DEE" w:rsidRDefault="00CC18B0" w:rsidP="00DA1A1B">
            <w:pPr>
              <w:pStyle w:val="NoSpacing"/>
              <w:spacing w:line="480" w:lineRule="auto"/>
              <w:jc w:val="both"/>
              <w:rPr>
                <w:rFonts w:ascii="Times New Roman" w:hAnsi="Times New Roman"/>
                <w:sz w:val="24"/>
                <w:szCs w:val="24"/>
              </w:rPr>
            </w:pPr>
            <m:oMathPara>
              <m:oMath>
                <m:r>
                  <w:rPr>
                    <w:rFonts w:ascii="Cambria Math" w:hAnsi="Cambria Math"/>
                    <w:sz w:val="24"/>
                    <w:szCs w:val="24"/>
                  </w:rPr>
                  <m:t>α</m:t>
                </m:r>
              </m:oMath>
            </m:oMathPara>
          </w:p>
        </w:tc>
        <w:tc>
          <w:tcPr>
            <w:tcW w:w="6522" w:type="dxa"/>
            <w:gridSpan w:val="3"/>
          </w:tcPr>
          <w:p w:rsidR="00CC18B0" w:rsidRPr="006F6DEE" w:rsidRDefault="00CC18B0" w:rsidP="00DA1A1B">
            <w:pPr>
              <w:pStyle w:val="NoSpacing"/>
              <w:spacing w:line="480" w:lineRule="auto"/>
              <w:jc w:val="both"/>
              <w:rPr>
                <w:rFonts w:ascii="Times New Roman" w:hAnsi="Times New Roman"/>
                <w:sz w:val="24"/>
                <w:szCs w:val="24"/>
              </w:rPr>
            </w:pPr>
            <w:r w:rsidRPr="006F6DEE">
              <w:rPr>
                <w:rFonts w:ascii="Times New Roman" w:hAnsi="Times New Roman"/>
                <w:sz w:val="24"/>
                <w:szCs w:val="24"/>
              </w:rPr>
              <w:t>: adalah tingkat signifikansi</w:t>
            </w:r>
          </w:p>
        </w:tc>
      </w:tr>
      <w:tr w:rsidR="00CC18B0" w:rsidRPr="006F6DEE" w:rsidTr="00C50D91">
        <w:tc>
          <w:tcPr>
            <w:tcW w:w="991" w:type="dxa"/>
          </w:tcPr>
          <w:p w:rsidR="00CC18B0" w:rsidRPr="006F6DEE" w:rsidRDefault="00CC18B0" w:rsidP="00DA1A1B">
            <w:pPr>
              <w:pStyle w:val="NoSpacing"/>
              <w:spacing w:line="480" w:lineRule="auto"/>
              <w:jc w:val="both"/>
              <w:rPr>
                <w:rFonts w:ascii="Times New Roman" w:hAnsi="Times New Roman"/>
                <w:sz w:val="24"/>
                <w:szCs w:val="24"/>
              </w:rPr>
            </w:pPr>
          </w:p>
        </w:tc>
        <w:tc>
          <w:tcPr>
            <w:tcW w:w="598" w:type="dxa"/>
          </w:tcPr>
          <w:p w:rsidR="00CC18B0" w:rsidRPr="00DB3C81" w:rsidRDefault="00437C41" w:rsidP="00DA1A1B">
            <w:pPr>
              <w:pStyle w:val="NoSpacing"/>
              <w:spacing w:line="480" w:lineRule="auto"/>
              <w:jc w:val="center"/>
              <w:rPr>
                <w:rFonts w:ascii="Times New Roman" w:hAnsi="Times New Roman"/>
                <w:i/>
                <w:sz w:val="24"/>
                <w:szCs w:val="24"/>
                <w:lang w:val="en-US"/>
              </w:rPr>
            </w:pPr>
            <w:r>
              <w:rPr>
                <w:rFonts w:ascii="Times New Roman" w:hAnsi="Times New Roman"/>
                <w:i/>
                <w:sz w:val="24"/>
                <w:szCs w:val="24"/>
                <w:lang w:val="en-US"/>
              </w:rPr>
              <w:t>T</w:t>
            </w:r>
          </w:p>
        </w:tc>
        <w:tc>
          <w:tcPr>
            <w:tcW w:w="6522" w:type="dxa"/>
            <w:gridSpan w:val="3"/>
          </w:tcPr>
          <w:p w:rsidR="00CC18B0" w:rsidRPr="006F6DEE" w:rsidRDefault="00CC18B0" w:rsidP="00DA1A1B">
            <w:pPr>
              <w:pStyle w:val="NoSpacing"/>
              <w:spacing w:line="480" w:lineRule="auto"/>
              <w:jc w:val="both"/>
              <w:rPr>
                <w:rFonts w:ascii="Times New Roman" w:hAnsi="Times New Roman"/>
                <w:i/>
                <w:sz w:val="24"/>
                <w:szCs w:val="24"/>
              </w:rPr>
            </w:pPr>
            <w:r w:rsidRPr="006F6DEE">
              <w:rPr>
                <w:rFonts w:ascii="Times New Roman" w:hAnsi="Times New Roman"/>
                <w:sz w:val="24"/>
                <w:szCs w:val="24"/>
              </w:rPr>
              <w:t xml:space="preserve">: adalah </w:t>
            </w:r>
            <w:r w:rsidRPr="006F6DEE">
              <w:rPr>
                <w:rFonts w:ascii="Times New Roman" w:hAnsi="Times New Roman"/>
                <w:i/>
                <w:sz w:val="24"/>
                <w:szCs w:val="24"/>
              </w:rPr>
              <w:t>holding periode</w:t>
            </w:r>
          </w:p>
        </w:tc>
      </w:tr>
    </w:tbl>
    <w:p w:rsidR="00CC18B0" w:rsidRPr="006F6DEE" w:rsidRDefault="00CC18B0" w:rsidP="00DA1A1B">
      <w:pPr>
        <w:pStyle w:val="NoSpacing"/>
        <w:spacing w:line="480" w:lineRule="auto"/>
        <w:ind w:firstLine="720"/>
        <w:jc w:val="both"/>
        <w:rPr>
          <w:rFonts w:ascii="Times New Roman" w:hAnsi="Times New Roman"/>
          <w:sz w:val="24"/>
          <w:szCs w:val="24"/>
        </w:rPr>
      </w:pPr>
      <w:r w:rsidRPr="006F6DEE">
        <w:rPr>
          <w:rFonts w:ascii="Times New Roman" w:hAnsi="Times New Roman"/>
          <w:sz w:val="24"/>
          <w:szCs w:val="24"/>
        </w:rPr>
        <w:t>Setelah model diperoleh langkah selanjutnya adalah melakukan pengujian untuk mengetahui suatu model VaR dapat dipakai atau tidak, maka dapat dilakukan uji validasi dengan</w:t>
      </w:r>
      <w:r w:rsidRPr="006F6DEE">
        <w:rPr>
          <w:rFonts w:ascii="Times New Roman" w:hAnsi="Times New Roman"/>
          <w:i/>
          <w:sz w:val="24"/>
          <w:szCs w:val="24"/>
        </w:rPr>
        <w:t xml:space="preserve"> </w:t>
      </w:r>
      <w:r w:rsidRPr="006F6DEE">
        <w:rPr>
          <w:rFonts w:ascii="Times New Roman" w:hAnsi="Times New Roman"/>
          <w:sz w:val="24"/>
          <w:szCs w:val="24"/>
        </w:rPr>
        <w:t xml:space="preserve">menghitung nilai </w:t>
      </w:r>
      <w:r w:rsidRPr="006F6DEE">
        <w:rPr>
          <w:rFonts w:ascii="Times New Roman" w:hAnsi="Times New Roman"/>
          <w:i/>
          <w:sz w:val="24"/>
          <w:szCs w:val="24"/>
        </w:rPr>
        <w:t>likelihood ratio</w:t>
      </w:r>
      <w:r w:rsidRPr="006F6DEE">
        <w:rPr>
          <w:rFonts w:ascii="Times New Roman" w:hAnsi="Times New Roman"/>
          <w:sz w:val="24"/>
          <w:szCs w:val="24"/>
        </w:rPr>
        <w:t xml:space="preserve"> (LR).</w:t>
      </w:r>
    </w:p>
    <w:p w:rsidR="00CC18B0" w:rsidRPr="006F6DEE" w:rsidRDefault="00CC18B0" w:rsidP="00DA1A1B">
      <w:pPr>
        <w:pStyle w:val="NoSpacing"/>
        <w:spacing w:line="480" w:lineRule="auto"/>
        <w:jc w:val="both"/>
        <w:rPr>
          <w:rFonts w:ascii="Times New Roman" w:hAnsi="Times New Roman"/>
          <w:sz w:val="24"/>
          <w:szCs w:val="24"/>
        </w:rPr>
      </w:pPr>
      <w:r w:rsidRPr="006F6DEE">
        <w:rPr>
          <w:rFonts w:ascii="Times New Roman" w:hAnsi="Times New Roman"/>
          <w:sz w:val="24"/>
          <w:szCs w:val="24"/>
        </w:rPr>
        <w:t>Berikut hipotesinya:</w:t>
      </w:r>
      <w:r w:rsidRPr="006F6DEE">
        <w:rPr>
          <w:rFonts w:ascii="Times New Roman" w:hAnsi="Times New Roman"/>
          <w:sz w:val="24"/>
          <w:szCs w:val="24"/>
        </w:rPr>
        <w:tab/>
        <w:t>H</w:t>
      </w:r>
      <w:r w:rsidRPr="006F6DEE">
        <w:rPr>
          <w:rFonts w:ascii="Times New Roman" w:hAnsi="Times New Roman"/>
          <w:sz w:val="24"/>
          <w:szCs w:val="24"/>
          <w:vertAlign w:val="subscript"/>
        </w:rPr>
        <w:t>o</w:t>
      </w:r>
      <w:r w:rsidRPr="006F6DEE">
        <w:rPr>
          <w:rFonts w:ascii="Times New Roman" w:hAnsi="Times New Roman"/>
          <w:sz w:val="24"/>
          <w:szCs w:val="24"/>
        </w:rPr>
        <w:tab/>
        <w:t>: Model adalah Valid</w:t>
      </w:r>
      <w:r w:rsidR="002320D1" w:rsidRPr="006F6DEE">
        <w:rPr>
          <w:rFonts w:ascii="Times New Roman" w:hAnsi="Times New Roman"/>
          <w:sz w:val="24"/>
          <w:szCs w:val="24"/>
          <w:lang w:val="en-US"/>
        </w:rPr>
        <w:t xml:space="preserve">  dan  </w:t>
      </w:r>
      <w:r w:rsidRPr="006F6DEE">
        <w:rPr>
          <w:rFonts w:ascii="Times New Roman" w:hAnsi="Times New Roman"/>
          <w:sz w:val="24"/>
          <w:szCs w:val="24"/>
        </w:rPr>
        <w:t>H</w:t>
      </w:r>
      <w:r w:rsidRPr="006F6DEE">
        <w:rPr>
          <w:rFonts w:ascii="Times New Roman" w:hAnsi="Times New Roman"/>
          <w:sz w:val="24"/>
          <w:szCs w:val="24"/>
          <w:vertAlign w:val="subscript"/>
        </w:rPr>
        <w:t>1</w:t>
      </w:r>
      <w:r w:rsidRPr="006F6DEE">
        <w:rPr>
          <w:rFonts w:ascii="Times New Roman" w:hAnsi="Times New Roman"/>
          <w:sz w:val="24"/>
          <w:szCs w:val="24"/>
        </w:rPr>
        <w:tab/>
        <w:t>: Model adalah tidak Valid</w:t>
      </w:r>
    </w:p>
    <w:p w:rsidR="00CC18B0" w:rsidRPr="006F6DEE" w:rsidRDefault="00CC18B0" w:rsidP="00DA1A1B">
      <w:pPr>
        <w:pStyle w:val="NoSpacing"/>
        <w:spacing w:line="480" w:lineRule="auto"/>
        <w:jc w:val="both"/>
        <w:rPr>
          <w:rFonts w:ascii="Times New Roman" w:hAnsi="Times New Roman"/>
          <w:position w:val="-14"/>
          <w:sz w:val="24"/>
          <w:szCs w:val="24"/>
        </w:rPr>
      </w:pPr>
      <w:r w:rsidRPr="006F6DEE">
        <w:rPr>
          <w:rFonts w:ascii="Times New Roman" w:hAnsi="Times New Roman"/>
          <w:sz w:val="24"/>
          <w:szCs w:val="24"/>
        </w:rPr>
        <w:t>Dengan statistik hitung:</w:t>
      </w:r>
      <w:r w:rsidRPr="006F6DEE">
        <w:rPr>
          <w:rFonts w:ascii="Times New Roman" w:hAnsi="Times New Roman"/>
          <w:position w:val="-14"/>
          <w:sz w:val="24"/>
          <w:szCs w:val="24"/>
        </w:rPr>
        <w:t xml:space="preserve"> </w:t>
      </w:r>
    </w:p>
    <w:p w:rsidR="00CC18B0" w:rsidRPr="006F6DEE" w:rsidRDefault="00CC18B0" w:rsidP="00DA1A1B">
      <w:pPr>
        <w:pStyle w:val="NoSpacing"/>
        <w:spacing w:line="480" w:lineRule="auto"/>
        <w:jc w:val="center"/>
        <w:rPr>
          <w:rFonts w:ascii="Times New Roman" w:hAnsi="Times New Roman"/>
          <w:sz w:val="24"/>
          <w:szCs w:val="24"/>
        </w:rPr>
      </w:pPr>
      <m:oMath>
        <m:r>
          <w:rPr>
            <w:rFonts w:ascii="Cambria Math" w:hAnsi="Cambria Math"/>
            <w:sz w:val="24"/>
            <w:szCs w:val="24"/>
          </w:rPr>
          <m:t>LR=-2</m:t>
        </m:r>
        <m:func>
          <m:funcPr>
            <m:ctrlPr>
              <w:rPr>
                <w:rFonts w:ascii="Cambria Math" w:hAnsi="Cambria Math"/>
                <w:sz w:val="24"/>
                <w:szCs w:val="24"/>
              </w:rPr>
            </m:ctrlPr>
          </m:funcPr>
          <m:fName>
            <m:r>
              <m:rPr>
                <m:sty m:val="p"/>
              </m:rPr>
              <w:rPr>
                <w:rFonts w:ascii="Cambria Math" w:hAnsi="Cambria Math"/>
                <w:sz w:val="24"/>
                <w:szCs w:val="24"/>
              </w:rPr>
              <m:t>log</m:t>
            </m:r>
          </m:fName>
          <m:e>
            <m:d>
              <m:dPr>
                <m:begChr m:val="["/>
                <m:endChr m:val="]"/>
                <m:ctrlPr>
                  <w:rPr>
                    <w:rFonts w:ascii="Cambria Math" w:hAnsi="Cambria Math"/>
                    <w:i/>
                    <w:sz w:val="24"/>
                    <w:szCs w:val="24"/>
                  </w:rPr>
                </m:ctrlPr>
              </m:dPr>
              <m:e>
                <m:sSup>
                  <m:sSupPr>
                    <m:ctrlPr>
                      <w:rPr>
                        <w:rFonts w:ascii="Cambria Math" w:hAnsi="Cambria Math"/>
                        <w:i/>
                        <w:sz w:val="24"/>
                        <w:szCs w:val="24"/>
                      </w:rPr>
                    </m:ctrlPr>
                  </m:sSupPr>
                  <m:e>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p*</m:t>
                            </m:r>
                          </m:e>
                        </m:d>
                      </m:e>
                      <m:sup>
                        <m:r>
                          <w:rPr>
                            <w:rFonts w:ascii="Cambria Math" w:hAnsi="Cambria Math"/>
                            <w:sz w:val="24"/>
                            <w:szCs w:val="24"/>
                          </w:rPr>
                          <m:t>x</m:t>
                        </m:r>
                      </m:sup>
                    </m:sSup>
                    <m:d>
                      <m:dPr>
                        <m:ctrlPr>
                          <w:rPr>
                            <w:rFonts w:ascii="Cambria Math" w:hAnsi="Cambria Math"/>
                            <w:i/>
                            <w:sz w:val="24"/>
                            <w:szCs w:val="24"/>
                          </w:rPr>
                        </m:ctrlPr>
                      </m:dPr>
                      <m:e>
                        <m:r>
                          <w:rPr>
                            <w:rFonts w:ascii="Cambria Math" w:hAnsi="Cambria Math"/>
                            <w:sz w:val="24"/>
                            <w:szCs w:val="24"/>
                          </w:rPr>
                          <m:t>1-p*</m:t>
                        </m:r>
                      </m:e>
                    </m:d>
                  </m:e>
                  <m:sup>
                    <m:r>
                      <w:rPr>
                        <w:rFonts w:ascii="Cambria Math" w:hAnsi="Cambria Math"/>
                        <w:sz w:val="24"/>
                        <w:szCs w:val="24"/>
                      </w:rPr>
                      <m:t>n-x</m:t>
                    </m:r>
                  </m:sup>
                </m:sSup>
              </m:e>
            </m:d>
            <m:ctrlPr>
              <w:rPr>
                <w:rFonts w:ascii="Cambria Math" w:hAnsi="Cambria Math"/>
                <w:i/>
                <w:sz w:val="24"/>
                <w:szCs w:val="24"/>
              </w:rPr>
            </m:ctrlPr>
          </m:e>
        </m:func>
        <m:r>
          <w:rPr>
            <w:rFonts w:ascii="Cambria Math" w:hAnsi="Cambria Math"/>
            <w:sz w:val="24"/>
            <w:szCs w:val="24"/>
          </w:rPr>
          <m:t>+2</m:t>
        </m:r>
        <m:func>
          <m:funcPr>
            <m:ctrlPr>
              <w:rPr>
                <w:rFonts w:ascii="Cambria Math" w:hAnsi="Cambria Math"/>
                <w:sz w:val="24"/>
                <w:szCs w:val="24"/>
              </w:rPr>
            </m:ctrlPr>
          </m:funcPr>
          <m:fName>
            <m:r>
              <m:rPr>
                <m:sty m:val="p"/>
              </m:rPr>
              <w:rPr>
                <w:rFonts w:ascii="Cambria Math" w:hAnsi="Cambria Math"/>
                <w:sz w:val="24"/>
                <w:szCs w:val="24"/>
              </w:rPr>
              <m:t>log</m:t>
            </m:r>
          </m:fName>
          <m:e>
            <m:d>
              <m:dPr>
                <m:begChr m:val="["/>
                <m:endChr m:val="]"/>
                <m:ctrlPr>
                  <w:rPr>
                    <w:rFonts w:ascii="Cambria Math" w:hAnsi="Cambria Math"/>
                    <w:i/>
                    <w:sz w:val="24"/>
                    <w:szCs w:val="24"/>
                  </w:rPr>
                </m:ctrlPr>
              </m:dPr>
              <m:e>
                <m:sSup>
                  <m:sSupPr>
                    <m:ctrlPr>
                      <w:rPr>
                        <w:rFonts w:ascii="Cambria Math" w:hAnsi="Cambria Math"/>
                        <w:i/>
                        <w:sz w:val="24"/>
                        <w:szCs w:val="24"/>
                      </w:rPr>
                    </m:ctrlPr>
                  </m:sSupPr>
                  <m:e>
                    <m:sSup>
                      <m:sSupPr>
                        <m:ctrlPr>
                          <w:rPr>
                            <w:rFonts w:ascii="Cambria Math" w:hAnsi="Cambria Math"/>
                            <w:i/>
                            <w:sz w:val="24"/>
                            <w:szCs w:val="24"/>
                          </w:rPr>
                        </m:ctrlPr>
                      </m:sSupPr>
                      <m:e>
                        <m:d>
                          <m:dPr>
                            <m:ctrlPr>
                              <w:rPr>
                                <w:rFonts w:ascii="Cambria Math" w:hAnsi="Cambria Math"/>
                                <w:i/>
                                <w:sz w:val="24"/>
                                <w:szCs w:val="24"/>
                              </w:rPr>
                            </m:ctrlPr>
                          </m:d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n</m:t>
                                    </m:r>
                                  </m:den>
                                </m:f>
                              </m:e>
                            </m:d>
                          </m:e>
                        </m:d>
                      </m:e>
                      <m:sup>
                        <m:r>
                          <w:rPr>
                            <w:rFonts w:ascii="Cambria Math" w:hAnsi="Cambria Math"/>
                            <w:sz w:val="24"/>
                            <w:szCs w:val="24"/>
                          </w:rPr>
                          <m:t>x</m:t>
                        </m:r>
                      </m:sup>
                    </m:sSup>
                    <m:d>
                      <m:dPr>
                        <m:ctrlPr>
                          <w:rPr>
                            <w:rFonts w:ascii="Cambria Math" w:hAnsi="Cambria Math"/>
                            <w:i/>
                            <w:sz w:val="24"/>
                            <w:szCs w:val="24"/>
                          </w:rPr>
                        </m:ctrlPr>
                      </m:dPr>
                      <m:e>
                        <m:r>
                          <w:rPr>
                            <w:rFonts w:ascii="Cambria Math" w:hAnsi="Cambria Math"/>
                            <w:sz w:val="24"/>
                            <w:szCs w:val="24"/>
                          </w:rPr>
                          <m:t>1-</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n</m:t>
                                </m:r>
                              </m:den>
                            </m:f>
                          </m:e>
                        </m:d>
                      </m:e>
                    </m:d>
                  </m:e>
                  <m:sup>
                    <m:r>
                      <w:rPr>
                        <w:rFonts w:ascii="Cambria Math" w:hAnsi="Cambria Math"/>
                        <w:sz w:val="24"/>
                        <w:szCs w:val="24"/>
                      </w:rPr>
                      <m:t>n-x</m:t>
                    </m:r>
                  </m:sup>
                </m:sSup>
              </m:e>
            </m:d>
            <m:ctrlPr>
              <w:rPr>
                <w:rFonts w:ascii="Cambria Math" w:hAnsi="Cambria Math"/>
                <w:i/>
                <w:sz w:val="24"/>
                <w:szCs w:val="24"/>
              </w:rPr>
            </m:ctrlPr>
          </m:e>
        </m:func>
      </m:oMath>
      <w:r w:rsidR="00DA1A1B">
        <w:rPr>
          <w:rFonts w:ascii="Times New Roman" w:hAnsi="Times New Roman"/>
          <w:sz w:val="24"/>
          <w:szCs w:val="24"/>
        </w:rPr>
        <w:t xml:space="preserve">         </w:t>
      </w:r>
      <w:r w:rsidR="00DA1A1B">
        <w:rPr>
          <w:rFonts w:ascii="Times New Roman" w:hAnsi="Times New Roman"/>
          <w:sz w:val="24"/>
          <w:szCs w:val="24"/>
          <w:lang w:val="en-US"/>
        </w:rPr>
        <w:t xml:space="preserve">      </w:t>
      </w:r>
      <w:r w:rsidRPr="006F6DEE">
        <w:rPr>
          <w:rFonts w:ascii="Times New Roman" w:hAnsi="Times New Roman"/>
          <w:sz w:val="24"/>
          <w:szCs w:val="24"/>
        </w:rPr>
        <w:t>(</w:t>
      </w:r>
      <w:r w:rsidR="009337B4">
        <w:rPr>
          <w:rFonts w:ascii="Times New Roman" w:hAnsi="Times New Roman"/>
          <w:sz w:val="24"/>
          <w:szCs w:val="24"/>
          <w:lang w:val="en-US"/>
        </w:rPr>
        <w:t>5</w:t>
      </w:r>
      <w:r w:rsidRPr="006F6DEE">
        <w:rPr>
          <w:rFonts w:ascii="Times New Roman" w:hAnsi="Times New Roman"/>
          <w:sz w:val="24"/>
          <w:szCs w:val="24"/>
        </w:rPr>
        <w:t>)</w:t>
      </w:r>
    </w:p>
    <w:tbl>
      <w:tblPr>
        <w:tblW w:w="0" w:type="auto"/>
        <w:tblInd w:w="817" w:type="dxa"/>
        <w:tblLook w:val="04A0"/>
      </w:tblPr>
      <w:tblGrid>
        <w:gridCol w:w="991"/>
        <w:gridCol w:w="587"/>
        <w:gridCol w:w="5753"/>
      </w:tblGrid>
      <w:tr w:rsidR="00CC18B0" w:rsidRPr="006F6DEE" w:rsidTr="00C50D91">
        <w:tc>
          <w:tcPr>
            <w:tcW w:w="991" w:type="dxa"/>
          </w:tcPr>
          <w:p w:rsidR="00CC18B0" w:rsidRPr="006F6DEE" w:rsidRDefault="00CC18B0" w:rsidP="00DA1A1B">
            <w:pPr>
              <w:pStyle w:val="NoSpacing"/>
              <w:spacing w:line="480" w:lineRule="auto"/>
              <w:jc w:val="both"/>
              <w:rPr>
                <w:rFonts w:ascii="Times New Roman" w:hAnsi="Times New Roman"/>
                <w:sz w:val="24"/>
                <w:szCs w:val="24"/>
              </w:rPr>
            </w:pPr>
            <w:r w:rsidRPr="006F6DEE">
              <w:rPr>
                <w:rFonts w:ascii="Times New Roman" w:hAnsi="Times New Roman"/>
                <w:sz w:val="24"/>
                <w:szCs w:val="24"/>
              </w:rPr>
              <w:t>dimana:</w:t>
            </w:r>
          </w:p>
        </w:tc>
        <w:tc>
          <w:tcPr>
            <w:tcW w:w="598" w:type="dxa"/>
          </w:tcPr>
          <w:p w:rsidR="00CC18B0" w:rsidRPr="006F6DEE" w:rsidRDefault="00CC18B0" w:rsidP="00DA1A1B">
            <w:pPr>
              <w:pStyle w:val="NoSpacing"/>
              <w:spacing w:line="480" w:lineRule="auto"/>
              <w:jc w:val="both"/>
              <w:rPr>
                <w:rFonts w:ascii="Times New Roman" w:hAnsi="Times New Roman"/>
                <w:sz w:val="24"/>
                <w:szCs w:val="24"/>
              </w:rPr>
            </w:pPr>
            <w:r w:rsidRPr="006F6DEE">
              <w:rPr>
                <w:rFonts w:ascii="Times New Roman" w:hAnsi="Times New Roman"/>
                <w:position w:val="-12"/>
                <w:sz w:val="24"/>
                <w:szCs w:val="24"/>
              </w:rPr>
              <w:t xml:space="preserve"> </w:t>
            </w:r>
            <m:oMath>
              <m:r>
                <w:rPr>
                  <w:rFonts w:ascii="Cambria Math" w:hAnsi="Cambria Math"/>
                  <w:sz w:val="24"/>
                  <w:szCs w:val="24"/>
                </w:rPr>
                <m:t>p*</m:t>
              </m:r>
            </m:oMath>
          </w:p>
        </w:tc>
        <w:tc>
          <w:tcPr>
            <w:tcW w:w="6522" w:type="dxa"/>
          </w:tcPr>
          <w:p w:rsidR="00CC18B0" w:rsidRPr="006F6DEE" w:rsidRDefault="00CC18B0" w:rsidP="00DA1A1B">
            <w:pPr>
              <w:pStyle w:val="NoSpacing"/>
              <w:spacing w:line="480" w:lineRule="auto"/>
              <w:jc w:val="both"/>
              <w:rPr>
                <w:rFonts w:ascii="Times New Roman" w:hAnsi="Times New Roman"/>
                <w:i/>
                <w:sz w:val="24"/>
                <w:szCs w:val="24"/>
              </w:rPr>
            </w:pPr>
            <w:r w:rsidRPr="006F6DEE">
              <w:rPr>
                <w:rFonts w:ascii="Times New Roman" w:hAnsi="Times New Roman"/>
                <w:sz w:val="24"/>
                <w:szCs w:val="24"/>
              </w:rPr>
              <w:t xml:space="preserve">: adalah probabilitas terjadinya </w:t>
            </w:r>
            <w:r w:rsidRPr="006F6DEE">
              <w:rPr>
                <w:rFonts w:ascii="Times New Roman" w:hAnsi="Times New Roman"/>
                <w:i/>
                <w:sz w:val="24"/>
                <w:szCs w:val="24"/>
              </w:rPr>
              <w:t xml:space="preserve">failure </w:t>
            </w:r>
          </w:p>
        </w:tc>
      </w:tr>
      <w:tr w:rsidR="00CC18B0" w:rsidRPr="006F6DEE" w:rsidTr="00C50D91">
        <w:tc>
          <w:tcPr>
            <w:tcW w:w="991" w:type="dxa"/>
          </w:tcPr>
          <w:p w:rsidR="00CC18B0" w:rsidRPr="006F6DEE" w:rsidRDefault="00CC18B0" w:rsidP="00DA1A1B">
            <w:pPr>
              <w:pStyle w:val="NoSpacing"/>
              <w:spacing w:line="480" w:lineRule="auto"/>
              <w:jc w:val="both"/>
              <w:rPr>
                <w:rFonts w:ascii="Times New Roman" w:hAnsi="Times New Roman"/>
                <w:sz w:val="24"/>
                <w:szCs w:val="24"/>
              </w:rPr>
            </w:pPr>
          </w:p>
        </w:tc>
        <w:tc>
          <w:tcPr>
            <w:tcW w:w="598" w:type="dxa"/>
          </w:tcPr>
          <w:p w:rsidR="00CC18B0" w:rsidRPr="006F6DEE" w:rsidRDefault="00CC18B0" w:rsidP="00DA1A1B">
            <w:pPr>
              <w:pStyle w:val="NoSpacing"/>
              <w:spacing w:line="480" w:lineRule="auto"/>
              <w:jc w:val="both"/>
              <w:rPr>
                <w:rFonts w:ascii="Times New Roman" w:hAnsi="Times New Roman"/>
                <w:sz w:val="24"/>
                <w:szCs w:val="24"/>
              </w:rPr>
            </w:pPr>
            <m:oMathPara>
              <m:oMath>
                <m:r>
                  <w:rPr>
                    <w:rFonts w:ascii="Cambria Math" w:hAnsi="Cambria Math"/>
                    <w:sz w:val="24"/>
                    <w:szCs w:val="24"/>
                  </w:rPr>
                  <m:t>n</m:t>
                </m:r>
              </m:oMath>
            </m:oMathPara>
          </w:p>
        </w:tc>
        <w:tc>
          <w:tcPr>
            <w:tcW w:w="6522" w:type="dxa"/>
          </w:tcPr>
          <w:p w:rsidR="00CC18B0" w:rsidRPr="006F6DEE" w:rsidRDefault="00CC18B0" w:rsidP="00DA1A1B">
            <w:pPr>
              <w:pStyle w:val="NoSpacing"/>
              <w:spacing w:line="480" w:lineRule="auto"/>
              <w:jc w:val="both"/>
              <w:rPr>
                <w:rFonts w:ascii="Times New Roman" w:hAnsi="Times New Roman"/>
                <w:sz w:val="24"/>
                <w:szCs w:val="24"/>
              </w:rPr>
            </w:pPr>
            <w:r w:rsidRPr="006F6DEE">
              <w:rPr>
                <w:rFonts w:ascii="Times New Roman" w:hAnsi="Times New Roman"/>
                <w:sz w:val="24"/>
                <w:szCs w:val="24"/>
              </w:rPr>
              <w:t>: adalah jumlah observasi</w:t>
            </w:r>
          </w:p>
        </w:tc>
      </w:tr>
      <w:tr w:rsidR="00CC18B0" w:rsidRPr="006F6DEE" w:rsidTr="00C50D91">
        <w:tc>
          <w:tcPr>
            <w:tcW w:w="991" w:type="dxa"/>
          </w:tcPr>
          <w:p w:rsidR="00CC18B0" w:rsidRPr="006F6DEE" w:rsidRDefault="00CC18B0" w:rsidP="00DA1A1B">
            <w:pPr>
              <w:pStyle w:val="NoSpacing"/>
              <w:spacing w:line="480" w:lineRule="auto"/>
              <w:jc w:val="both"/>
              <w:rPr>
                <w:rFonts w:ascii="Times New Roman" w:hAnsi="Times New Roman"/>
                <w:sz w:val="24"/>
                <w:szCs w:val="24"/>
              </w:rPr>
            </w:pPr>
          </w:p>
        </w:tc>
        <w:tc>
          <w:tcPr>
            <w:tcW w:w="598" w:type="dxa"/>
          </w:tcPr>
          <w:p w:rsidR="00CC18B0" w:rsidRPr="006F6DEE" w:rsidRDefault="00CC18B0" w:rsidP="00DA1A1B">
            <w:pPr>
              <w:pStyle w:val="NoSpacing"/>
              <w:spacing w:line="480" w:lineRule="auto"/>
              <w:jc w:val="both"/>
              <w:rPr>
                <w:rFonts w:ascii="Times New Roman" w:hAnsi="Times New Roman"/>
                <w:sz w:val="24"/>
                <w:szCs w:val="24"/>
              </w:rPr>
            </w:pPr>
            <m:oMathPara>
              <m:oMath>
                <m:r>
                  <w:rPr>
                    <w:rFonts w:ascii="Cambria Math" w:hAnsi="Cambria Math"/>
                    <w:sz w:val="24"/>
                    <w:szCs w:val="24"/>
                  </w:rPr>
                  <m:t>x</m:t>
                </m:r>
              </m:oMath>
            </m:oMathPara>
          </w:p>
        </w:tc>
        <w:tc>
          <w:tcPr>
            <w:tcW w:w="6522" w:type="dxa"/>
          </w:tcPr>
          <w:p w:rsidR="00CC18B0" w:rsidRPr="006F6DEE" w:rsidRDefault="00CC18B0" w:rsidP="00DA1A1B">
            <w:pPr>
              <w:pStyle w:val="NoSpacing"/>
              <w:spacing w:line="480" w:lineRule="auto"/>
              <w:jc w:val="both"/>
              <w:rPr>
                <w:rFonts w:ascii="Times New Roman" w:hAnsi="Times New Roman"/>
                <w:sz w:val="24"/>
                <w:szCs w:val="24"/>
              </w:rPr>
            </w:pPr>
            <w:r w:rsidRPr="006F6DEE">
              <w:rPr>
                <w:rFonts w:ascii="Times New Roman" w:hAnsi="Times New Roman"/>
                <w:sz w:val="24"/>
                <w:szCs w:val="24"/>
              </w:rPr>
              <w:t xml:space="preserve">: adalah </w:t>
            </w:r>
            <w:r w:rsidRPr="006F6DEE">
              <w:rPr>
                <w:rFonts w:ascii="Times New Roman" w:hAnsi="Times New Roman"/>
                <w:i/>
                <w:sz w:val="24"/>
                <w:szCs w:val="24"/>
              </w:rPr>
              <w:t>total failures</w:t>
            </w:r>
          </w:p>
        </w:tc>
      </w:tr>
    </w:tbl>
    <w:p w:rsidR="008D3934" w:rsidRDefault="008D3934" w:rsidP="00DA1A1B">
      <w:pPr>
        <w:pStyle w:val="NoSpacing"/>
        <w:spacing w:line="480" w:lineRule="auto"/>
        <w:ind w:firstLine="720"/>
        <w:jc w:val="both"/>
        <w:rPr>
          <w:rFonts w:ascii="Times New Roman" w:hAnsi="Times New Roman"/>
          <w:position w:val="-14"/>
          <w:sz w:val="24"/>
          <w:szCs w:val="24"/>
          <w:lang w:val="en-US"/>
        </w:rPr>
      </w:pPr>
    </w:p>
    <w:p w:rsidR="00262939" w:rsidRDefault="00CC18B0" w:rsidP="00DA1A1B">
      <w:pPr>
        <w:pStyle w:val="NoSpacing"/>
        <w:spacing w:line="480" w:lineRule="auto"/>
        <w:ind w:firstLine="720"/>
        <w:jc w:val="both"/>
        <w:rPr>
          <w:rFonts w:ascii="Times New Roman" w:hAnsi="Times New Roman"/>
          <w:position w:val="-14"/>
          <w:sz w:val="24"/>
          <w:szCs w:val="24"/>
          <w:lang w:val="en-US"/>
        </w:rPr>
      </w:pPr>
      <w:r w:rsidRPr="006F6DEE">
        <w:rPr>
          <w:rFonts w:ascii="Times New Roman" w:hAnsi="Times New Roman"/>
          <w:position w:val="-14"/>
          <w:sz w:val="24"/>
          <w:szCs w:val="24"/>
        </w:rPr>
        <w:t xml:space="preserve">Selanjutya nilai LR dibandingkan dengan tabel </w:t>
      </w:r>
      <w:r w:rsidRPr="006F6DEE">
        <w:rPr>
          <w:rFonts w:ascii="Times New Roman" w:hAnsi="Times New Roman"/>
          <w:i/>
          <w:position w:val="-14"/>
          <w:sz w:val="24"/>
          <w:szCs w:val="24"/>
        </w:rPr>
        <w:t>Chi-Square</w:t>
      </w:r>
      <w:r w:rsidRPr="006F6DEE">
        <w:rPr>
          <w:rFonts w:ascii="Times New Roman" w:hAnsi="Times New Roman"/>
          <w:position w:val="-14"/>
          <w:sz w:val="24"/>
          <w:szCs w:val="24"/>
        </w:rPr>
        <w:t xml:space="preserve"> (χ</w:t>
      </w:r>
      <w:r w:rsidRPr="006F6DEE">
        <w:rPr>
          <w:rFonts w:ascii="Times New Roman" w:hAnsi="Times New Roman"/>
          <w:position w:val="-14"/>
          <w:sz w:val="24"/>
          <w:szCs w:val="24"/>
          <w:vertAlign w:val="superscript"/>
        </w:rPr>
        <w:t>2</w:t>
      </w:r>
      <w:r w:rsidRPr="006F6DEE">
        <w:rPr>
          <w:rFonts w:ascii="Times New Roman" w:hAnsi="Times New Roman"/>
          <w:position w:val="-14"/>
          <w:sz w:val="24"/>
          <w:szCs w:val="24"/>
        </w:rPr>
        <w:t xml:space="preserve">). Jika LR &gt; tabel </w:t>
      </w:r>
      <w:r w:rsidRPr="006F6DEE">
        <w:rPr>
          <w:rFonts w:ascii="Times New Roman" w:hAnsi="Times New Roman"/>
          <w:i/>
          <w:position w:val="-14"/>
          <w:sz w:val="24"/>
          <w:szCs w:val="24"/>
        </w:rPr>
        <w:t>Chi-Square</w:t>
      </w:r>
      <w:r w:rsidRPr="006F6DEE">
        <w:rPr>
          <w:rFonts w:ascii="Times New Roman" w:hAnsi="Times New Roman"/>
          <w:position w:val="-14"/>
          <w:sz w:val="24"/>
          <w:szCs w:val="24"/>
        </w:rPr>
        <w:t xml:space="preserve">, maka Ho ditolak atau model tidak valid. </w:t>
      </w:r>
    </w:p>
    <w:p w:rsidR="00F17E9A" w:rsidRPr="005B409E" w:rsidRDefault="00DA29A0" w:rsidP="00DA1A1B">
      <w:pPr>
        <w:pStyle w:val="NoSpacing"/>
        <w:spacing w:line="480" w:lineRule="auto"/>
        <w:jc w:val="both"/>
        <w:rPr>
          <w:rFonts w:ascii="Times New Roman" w:hAnsi="Times New Roman"/>
          <w:b/>
          <w:sz w:val="24"/>
          <w:szCs w:val="24"/>
          <w:lang w:val="en-US"/>
        </w:rPr>
      </w:pPr>
      <w:r>
        <w:rPr>
          <w:rFonts w:ascii="Times New Roman" w:hAnsi="Times New Roman"/>
          <w:b/>
          <w:sz w:val="24"/>
          <w:szCs w:val="24"/>
          <w:lang w:val="en-US"/>
        </w:rPr>
        <w:t>2</w:t>
      </w:r>
      <w:r w:rsidR="009C4A9F" w:rsidRPr="006F6DEE">
        <w:rPr>
          <w:rFonts w:ascii="Times New Roman" w:hAnsi="Times New Roman"/>
          <w:b/>
          <w:sz w:val="24"/>
          <w:szCs w:val="24"/>
        </w:rPr>
        <w:t>.</w:t>
      </w:r>
      <w:r w:rsidR="00B67A07">
        <w:rPr>
          <w:rFonts w:ascii="Times New Roman" w:hAnsi="Times New Roman"/>
          <w:b/>
          <w:sz w:val="24"/>
          <w:szCs w:val="24"/>
          <w:lang w:val="en-US"/>
        </w:rPr>
        <w:t>4</w:t>
      </w:r>
      <w:r w:rsidR="009C4A9F" w:rsidRPr="006F6DEE">
        <w:rPr>
          <w:rFonts w:ascii="Times New Roman" w:hAnsi="Times New Roman"/>
          <w:b/>
          <w:sz w:val="24"/>
          <w:szCs w:val="24"/>
        </w:rPr>
        <w:t xml:space="preserve"> </w:t>
      </w:r>
      <w:r w:rsidR="00B67A07" w:rsidRPr="007454AA">
        <w:rPr>
          <w:rFonts w:ascii="Times New Roman" w:hAnsi="Times New Roman"/>
          <w:b/>
          <w:i/>
          <w:sz w:val="24"/>
          <w:szCs w:val="24"/>
        </w:rPr>
        <w:t>Capital Asset Pricing Model</w:t>
      </w:r>
      <w:r w:rsidR="00B67A07">
        <w:rPr>
          <w:rFonts w:ascii="Times New Roman" w:hAnsi="Times New Roman"/>
          <w:b/>
          <w:sz w:val="24"/>
          <w:szCs w:val="24"/>
          <w:lang w:val="en-US"/>
        </w:rPr>
        <w:t xml:space="preserve"> (</w:t>
      </w:r>
      <w:r w:rsidR="00B67A07">
        <w:rPr>
          <w:rFonts w:ascii="Times New Roman" w:hAnsi="Times New Roman"/>
          <w:b/>
          <w:sz w:val="24"/>
          <w:szCs w:val="24"/>
        </w:rPr>
        <w:t>C</w:t>
      </w:r>
      <w:r w:rsidR="00B67A07">
        <w:rPr>
          <w:rFonts w:ascii="Times New Roman" w:hAnsi="Times New Roman"/>
          <w:b/>
          <w:sz w:val="24"/>
          <w:szCs w:val="24"/>
          <w:lang w:val="en-US"/>
        </w:rPr>
        <w:t>APM)</w:t>
      </w:r>
    </w:p>
    <w:p w:rsidR="00F17E9A" w:rsidRPr="008E1C95" w:rsidRDefault="00F17E9A" w:rsidP="00DA1A1B">
      <w:pPr>
        <w:pStyle w:val="NoSpacing"/>
        <w:spacing w:line="480" w:lineRule="auto"/>
        <w:ind w:firstLine="426"/>
        <w:jc w:val="both"/>
        <w:rPr>
          <w:rFonts w:asciiTheme="majorBidi" w:eastAsiaTheme="minorEastAsia" w:hAnsiTheme="majorBidi"/>
          <w:sz w:val="24"/>
          <w:szCs w:val="24"/>
          <w:lang w:val="en-US"/>
        </w:rPr>
      </w:pPr>
      <w:r>
        <w:rPr>
          <w:rFonts w:ascii="Times New Roman" w:hAnsi="Times New Roman"/>
          <w:sz w:val="24"/>
          <w:szCs w:val="24"/>
          <w:lang w:val="en-US"/>
        </w:rPr>
        <w:lastRenderedPageBreak/>
        <w:t xml:space="preserve">CAPM dikemukan oleh Sharpe, Lintner, dan Black (SLB) menetapkan bahwa </w:t>
      </w:r>
      <w:r>
        <w:rPr>
          <w:rFonts w:ascii="Times New Roman" w:hAnsi="Times New Roman"/>
          <w:i/>
          <w:sz w:val="24"/>
          <w:szCs w:val="24"/>
          <w:lang w:val="en-US"/>
        </w:rPr>
        <w:t xml:space="preserve">return </w:t>
      </w:r>
      <w:r w:rsidRPr="00F17E9A">
        <w:rPr>
          <w:rFonts w:ascii="Times New Roman" w:hAnsi="Times New Roman"/>
          <w:sz w:val="24"/>
          <w:szCs w:val="24"/>
          <w:lang w:val="en-US"/>
        </w:rPr>
        <w:t xml:space="preserve">yang diharapkan </w:t>
      </w:r>
      <w:r>
        <w:rPr>
          <w:rFonts w:ascii="Times New Roman" w:hAnsi="Times New Roman"/>
          <w:sz w:val="24"/>
          <w:szCs w:val="24"/>
          <w:lang w:val="en-US"/>
        </w:rPr>
        <w:t>atas sebuah saham ditentukan oleh tingkat suku bungga bebas resiko (</w:t>
      </w:r>
      <w:r>
        <w:rPr>
          <w:rFonts w:ascii="Times New Roman" w:hAnsi="Times New Roman"/>
          <w:i/>
          <w:sz w:val="24"/>
          <w:szCs w:val="24"/>
          <w:lang w:val="en-US"/>
        </w:rPr>
        <w:t>risk</w:t>
      </w:r>
      <w:r>
        <w:rPr>
          <w:rFonts w:ascii="Times New Roman" w:hAnsi="Times New Roman"/>
          <w:sz w:val="24"/>
          <w:szCs w:val="24"/>
          <w:lang w:val="en-US"/>
        </w:rPr>
        <w:t xml:space="preserve"> </w:t>
      </w:r>
      <w:r>
        <w:rPr>
          <w:rFonts w:ascii="Times New Roman" w:hAnsi="Times New Roman"/>
          <w:i/>
          <w:sz w:val="24"/>
          <w:szCs w:val="24"/>
          <w:lang w:val="en-US"/>
        </w:rPr>
        <w:t>free rate return</w:t>
      </w:r>
      <w:r>
        <w:rPr>
          <w:rFonts w:ascii="Times New Roman" w:hAnsi="Times New Roman"/>
          <w:sz w:val="24"/>
          <w:szCs w:val="24"/>
          <w:lang w:val="en-US"/>
        </w:rPr>
        <w:t xml:space="preserve">) dan </w:t>
      </w:r>
      <w:r>
        <w:rPr>
          <w:rFonts w:ascii="Times New Roman" w:hAnsi="Times New Roman"/>
          <w:i/>
          <w:sz w:val="24"/>
          <w:szCs w:val="24"/>
          <w:lang w:val="en-US"/>
        </w:rPr>
        <w:t xml:space="preserve">risk premium </w:t>
      </w:r>
      <w:r>
        <w:rPr>
          <w:rFonts w:ascii="Times New Roman" w:hAnsi="Times New Roman"/>
          <w:sz w:val="24"/>
          <w:szCs w:val="24"/>
          <w:lang w:val="en-US"/>
        </w:rPr>
        <w:t xml:space="preserve">yang merupakan fungsi dari respon saham di pasar modal yang disebut koefisien </w:t>
      </w:r>
      <w:r w:rsidRPr="008E1C95">
        <w:rPr>
          <w:rFonts w:ascii="Times New Roman" w:hAnsi="Times New Roman"/>
          <w:i/>
          <w:sz w:val="24"/>
          <w:szCs w:val="24"/>
          <w:lang w:val="en-US"/>
        </w:rPr>
        <w:t>beta</w:t>
      </w:r>
      <w:r>
        <w:rPr>
          <w:rFonts w:ascii="Times New Roman" w:hAnsi="Times New Roman"/>
          <w:i/>
          <w:sz w:val="24"/>
          <w:szCs w:val="24"/>
          <w:lang w:val="en-US"/>
        </w:rPr>
        <w:t>.</w:t>
      </w:r>
      <w:r w:rsidR="008E1C95">
        <w:rPr>
          <w:rFonts w:ascii="Times New Roman" w:hAnsi="Times New Roman"/>
          <w:sz w:val="24"/>
          <w:szCs w:val="24"/>
          <w:lang w:val="en-US"/>
        </w:rPr>
        <w:t xml:space="preserve"> </w:t>
      </w:r>
      <w:proofErr w:type="gramStart"/>
      <w:r w:rsidR="008E1C95">
        <w:rPr>
          <w:rFonts w:ascii="Times New Roman" w:hAnsi="Times New Roman"/>
          <w:sz w:val="24"/>
          <w:szCs w:val="24"/>
          <w:lang w:val="en-US"/>
        </w:rPr>
        <w:t xml:space="preserve">Pengujian empiris terhadap model ini didukung oleh prediksi bahwa </w:t>
      </w:r>
      <w:r w:rsidR="008E1C95">
        <w:rPr>
          <w:rFonts w:ascii="Times New Roman" w:hAnsi="Times New Roman"/>
          <w:i/>
          <w:sz w:val="24"/>
          <w:szCs w:val="24"/>
          <w:lang w:val="en-US"/>
        </w:rPr>
        <w:t xml:space="preserve">beta </w:t>
      </w:r>
      <w:r w:rsidR="008E1C95">
        <w:rPr>
          <w:rFonts w:ascii="Times New Roman" w:hAnsi="Times New Roman"/>
          <w:sz w:val="24"/>
          <w:szCs w:val="24"/>
          <w:lang w:val="en-US"/>
        </w:rPr>
        <w:t xml:space="preserve">merupakan satu-satnya variabel yang menjelaskan secara </w:t>
      </w:r>
      <w:r w:rsidR="008E1C95">
        <w:rPr>
          <w:rFonts w:ascii="Times New Roman" w:hAnsi="Times New Roman"/>
          <w:i/>
          <w:sz w:val="24"/>
          <w:szCs w:val="24"/>
          <w:lang w:val="en-US"/>
        </w:rPr>
        <w:t xml:space="preserve">cross sectional </w:t>
      </w:r>
      <w:r w:rsidR="008E1C95">
        <w:rPr>
          <w:rFonts w:ascii="Times New Roman" w:hAnsi="Times New Roman"/>
          <w:sz w:val="24"/>
          <w:szCs w:val="24"/>
          <w:lang w:val="en-US"/>
        </w:rPr>
        <w:t>baik saham secar individu maupun portofolio.</w:t>
      </w:r>
      <w:proofErr w:type="gramEnd"/>
      <w:r w:rsidR="008E1C95">
        <w:rPr>
          <w:rFonts w:ascii="Times New Roman" w:hAnsi="Times New Roman"/>
          <w:sz w:val="24"/>
          <w:szCs w:val="24"/>
          <w:lang w:val="en-US"/>
        </w:rPr>
        <w:t xml:space="preserve"> </w:t>
      </w:r>
      <w:r w:rsidR="008E1C95">
        <w:rPr>
          <w:rFonts w:ascii="Times New Roman" w:hAnsi="Times New Roman"/>
          <w:i/>
          <w:sz w:val="24"/>
          <w:szCs w:val="24"/>
          <w:lang w:val="en-US"/>
        </w:rPr>
        <w:t xml:space="preserve"> </w:t>
      </w:r>
      <w:r>
        <w:rPr>
          <w:rFonts w:ascii="Times New Roman" w:hAnsi="Times New Roman"/>
          <w:sz w:val="24"/>
          <w:szCs w:val="24"/>
          <w:lang w:val="en-US"/>
        </w:rPr>
        <w:t xml:space="preserve"> </w:t>
      </w:r>
      <w:r w:rsidR="008E1C95">
        <w:rPr>
          <w:rFonts w:ascii="Times New Roman" w:hAnsi="Times New Roman"/>
          <w:sz w:val="24"/>
          <w:szCs w:val="24"/>
          <w:lang w:val="en-US"/>
        </w:rPr>
        <w:t>Secara umum,</w:t>
      </w:r>
      <w:r w:rsidR="008E1C95" w:rsidRPr="008E1C95">
        <w:rPr>
          <w:rFonts w:asciiTheme="majorBidi" w:eastAsiaTheme="minorEastAsia" w:hAnsiTheme="majorBidi"/>
          <w:sz w:val="24"/>
          <w:szCs w:val="24"/>
        </w:rPr>
        <w:t xml:space="preserve"> </w:t>
      </w:r>
      <w:r w:rsidR="008E1C95" w:rsidRPr="008E1C95">
        <w:rPr>
          <w:rFonts w:asciiTheme="majorBidi" w:eastAsiaTheme="minorEastAsia" w:hAnsiTheme="majorBidi"/>
          <w:i/>
          <w:sz w:val="24"/>
          <w:szCs w:val="24"/>
          <w:lang w:val="en-US"/>
        </w:rPr>
        <w:t>b</w:t>
      </w:r>
      <w:r w:rsidR="008E1C95" w:rsidRPr="008E1C95">
        <w:rPr>
          <w:rFonts w:asciiTheme="majorBidi" w:eastAsiaTheme="minorEastAsia" w:hAnsiTheme="majorBidi"/>
          <w:i/>
          <w:sz w:val="24"/>
          <w:szCs w:val="24"/>
        </w:rPr>
        <w:t>eta</w:t>
      </w:r>
      <w:r w:rsidR="008E1C95" w:rsidRPr="00785167">
        <w:rPr>
          <w:rFonts w:asciiTheme="majorBidi" w:eastAsiaTheme="minorEastAsia" w:hAnsiTheme="majorBidi"/>
          <w:sz w:val="24"/>
          <w:szCs w:val="24"/>
        </w:rPr>
        <w:t xml:space="preserve"> s</w:t>
      </w:r>
      <w:r w:rsidR="008E1C95">
        <w:rPr>
          <w:rFonts w:asciiTheme="majorBidi" w:eastAsiaTheme="minorEastAsia" w:hAnsiTheme="majorBidi"/>
          <w:sz w:val="24"/>
          <w:szCs w:val="24"/>
          <w:lang w:val="en-US"/>
        </w:rPr>
        <w:t xml:space="preserve">aham </w:t>
      </w:r>
      <w:r w:rsidR="008E1C95" w:rsidRPr="00785167">
        <w:rPr>
          <w:rFonts w:asciiTheme="majorBidi" w:eastAsiaTheme="minorEastAsia" w:hAnsiTheme="majorBidi"/>
          <w:sz w:val="24"/>
          <w:szCs w:val="24"/>
        </w:rPr>
        <w:t xml:space="preserve">ke-i mengukur volatilitas </w:t>
      </w:r>
      <w:r w:rsidR="008E1C95" w:rsidRPr="00785167">
        <w:rPr>
          <w:rFonts w:asciiTheme="majorBidi" w:eastAsiaTheme="minorEastAsia" w:hAnsiTheme="majorBidi"/>
          <w:i/>
          <w:iCs/>
          <w:sz w:val="24"/>
          <w:szCs w:val="24"/>
        </w:rPr>
        <w:t>return</w:t>
      </w:r>
      <w:r w:rsidR="008E1C95" w:rsidRPr="00785167">
        <w:rPr>
          <w:rFonts w:asciiTheme="majorBidi" w:eastAsiaTheme="minorEastAsia" w:hAnsiTheme="majorBidi"/>
          <w:sz w:val="24"/>
          <w:szCs w:val="24"/>
        </w:rPr>
        <w:t xml:space="preserve"> </w:t>
      </w:r>
      <w:r w:rsidR="008E1C95">
        <w:rPr>
          <w:rFonts w:asciiTheme="majorBidi" w:eastAsiaTheme="minorEastAsia" w:hAnsiTheme="majorBidi"/>
          <w:sz w:val="24"/>
          <w:szCs w:val="24"/>
          <w:lang w:val="en-US"/>
        </w:rPr>
        <w:t>saham</w:t>
      </w:r>
      <w:r w:rsidR="008E1C95" w:rsidRPr="00785167">
        <w:rPr>
          <w:rFonts w:asciiTheme="majorBidi" w:eastAsiaTheme="minorEastAsia" w:hAnsiTheme="majorBidi"/>
          <w:sz w:val="24"/>
          <w:szCs w:val="24"/>
        </w:rPr>
        <w:t xml:space="preserve"> ke-i dengan </w:t>
      </w:r>
      <w:r w:rsidR="008E1C95" w:rsidRPr="00785167">
        <w:rPr>
          <w:rFonts w:asciiTheme="majorBidi" w:eastAsiaTheme="minorEastAsia" w:hAnsiTheme="majorBidi"/>
          <w:i/>
          <w:iCs/>
          <w:sz w:val="24"/>
          <w:szCs w:val="24"/>
        </w:rPr>
        <w:t>return</w:t>
      </w:r>
      <w:r w:rsidR="008E1C95" w:rsidRPr="00785167">
        <w:rPr>
          <w:rFonts w:asciiTheme="majorBidi" w:eastAsiaTheme="minorEastAsia" w:hAnsiTheme="majorBidi"/>
          <w:sz w:val="24"/>
          <w:szCs w:val="24"/>
        </w:rPr>
        <w:t xml:space="preserve"> pasar</w:t>
      </w:r>
      <w:r w:rsidR="008E1C95">
        <w:rPr>
          <w:rFonts w:asciiTheme="majorBidi" w:eastAsiaTheme="minorEastAsia" w:hAnsiTheme="majorBidi"/>
          <w:sz w:val="24"/>
          <w:szCs w:val="24"/>
          <w:lang w:val="en-US"/>
        </w:rPr>
        <w:t xml:space="preserve">, ditulis: </w:t>
      </w:r>
    </w:p>
    <w:p w:rsidR="00CC18B0" w:rsidRPr="006F6DEE" w:rsidRDefault="008E1C95" w:rsidP="00DA1A1B">
      <w:pPr>
        <w:pStyle w:val="NoSpacing"/>
        <w:spacing w:line="480" w:lineRule="auto"/>
        <w:ind w:left="1440" w:firstLine="720"/>
        <w:jc w:val="both"/>
        <w:rPr>
          <w:rFonts w:ascii="Times New Roman" w:hAnsi="Times New Roman"/>
          <w:sz w:val="24"/>
          <w:szCs w:val="24"/>
        </w:rPr>
      </w:pPr>
      <w:r w:rsidRPr="00785167">
        <w:rPr>
          <w:rFonts w:asciiTheme="majorBidi" w:eastAsiaTheme="minorEastAsia" w:hAnsiTheme="majorBidi"/>
          <w:position w:val="-30"/>
        </w:rPr>
        <w:object w:dxaOrig="2340"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37pt" o:ole="">
            <v:imagedata r:id="rId11" o:title=""/>
          </v:shape>
          <o:OLEObject Type="Embed" ProgID="Equation.DSMT4" ShapeID="_x0000_i1025" DrawAspect="Content" ObjectID="_1446123130" r:id="rId12"/>
        </w:object>
      </w:r>
      <w:r w:rsidR="00CC18B0" w:rsidRPr="006F6DEE">
        <w:rPr>
          <w:rFonts w:ascii="Times New Roman" w:hAnsi="Times New Roman"/>
          <w:sz w:val="24"/>
          <w:szCs w:val="24"/>
        </w:rPr>
        <w:t xml:space="preserve">              </w:t>
      </w:r>
      <w:r w:rsidR="00DA1A1B">
        <w:rPr>
          <w:rFonts w:ascii="Times New Roman" w:hAnsi="Times New Roman"/>
          <w:sz w:val="24"/>
          <w:szCs w:val="24"/>
          <w:lang w:val="en-US"/>
        </w:rPr>
        <w:tab/>
      </w:r>
      <w:r w:rsidR="00DA1A1B">
        <w:rPr>
          <w:rFonts w:ascii="Times New Roman" w:hAnsi="Times New Roman"/>
          <w:sz w:val="24"/>
          <w:szCs w:val="24"/>
          <w:lang w:val="en-US"/>
        </w:rPr>
        <w:tab/>
      </w:r>
      <w:r>
        <w:rPr>
          <w:rFonts w:ascii="Times New Roman" w:hAnsi="Times New Roman"/>
          <w:sz w:val="24"/>
          <w:szCs w:val="24"/>
          <w:lang w:val="en-US"/>
        </w:rPr>
        <w:tab/>
      </w:r>
      <w:r w:rsidR="00CC18B0" w:rsidRPr="006F6DEE">
        <w:rPr>
          <w:rFonts w:ascii="Times New Roman" w:hAnsi="Times New Roman"/>
          <w:sz w:val="24"/>
          <w:szCs w:val="24"/>
        </w:rPr>
        <w:t xml:space="preserve"> (</w:t>
      </w:r>
      <w:r w:rsidR="00CC18B0" w:rsidRPr="006F6DEE">
        <w:rPr>
          <w:rFonts w:ascii="Times New Roman" w:hAnsi="Times New Roman"/>
          <w:sz w:val="24"/>
          <w:szCs w:val="24"/>
          <w:lang w:val="en-US"/>
        </w:rPr>
        <w:t>7</w:t>
      </w:r>
      <w:r w:rsidR="00CC18B0" w:rsidRPr="006F6DEE">
        <w:rPr>
          <w:rFonts w:ascii="Times New Roman" w:hAnsi="Times New Roman"/>
          <w:sz w:val="24"/>
          <w:szCs w:val="24"/>
        </w:rPr>
        <w:t>)</w:t>
      </w:r>
    </w:p>
    <w:p w:rsidR="005B409E" w:rsidRDefault="00944EE8" w:rsidP="00DA1A1B">
      <w:pPr>
        <w:pStyle w:val="NoSpacing"/>
        <w:spacing w:line="480" w:lineRule="auto"/>
        <w:ind w:firstLine="720"/>
        <w:jc w:val="both"/>
        <w:rPr>
          <w:rFonts w:ascii="Times New Roman" w:hAnsi="Times New Roman"/>
          <w:sz w:val="24"/>
          <w:szCs w:val="24"/>
          <w:lang w:val="en-US"/>
        </w:rPr>
      </w:pPr>
      <w:r>
        <w:rPr>
          <w:rFonts w:ascii="Times New Roman" w:hAnsi="Times New Roman"/>
          <w:sz w:val="24"/>
          <w:szCs w:val="24"/>
          <w:lang w:val="en-US"/>
        </w:rPr>
        <w:t>Selanjutnya, persamaan CAPM untuk suatu portofolio adalah:</w:t>
      </w:r>
    </w:p>
    <w:p w:rsidR="00944EE8" w:rsidRDefault="005B409E" w:rsidP="00DA1A1B">
      <w:pPr>
        <w:pStyle w:val="NoSpacing"/>
        <w:spacing w:line="480" w:lineRule="auto"/>
        <w:ind w:firstLine="720"/>
        <w:jc w:val="both"/>
        <w:rPr>
          <w:rFonts w:ascii="Times New Roman" w:hAnsi="Times New Roman"/>
          <w:sz w:val="24"/>
          <w:szCs w:val="24"/>
          <w:lang w:val="en-US"/>
        </w:rPr>
      </w:pPr>
      <w:r>
        <w:rPr>
          <w:rFonts w:ascii="Times New Roman" w:hAnsi="Times New Roman"/>
          <w:sz w:val="24"/>
          <w:szCs w:val="24"/>
          <w:lang w:val="en-US"/>
        </w:rPr>
        <w:tab/>
      </w:r>
      <m:oMath>
        <m:r>
          <w:rPr>
            <w:rFonts w:ascii="Cambria Math" w:hAnsi="Cambria Math"/>
            <w:sz w:val="24"/>
            <w:szCs w:val="24"/>
            <w:lang w:val="en-US"/>
          </w:rPr>
          <m:t>E</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p</m:t>
                </m:r>
              </m:sub>
            </m:sSub>
          </m:e>
        </m:d>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BR</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β</m:t>
            </m:r>
          </m:e>
          <m:sub>
            <m:r>
              <w:rPr>
                <w:rFonts w:ascii="Cambria Math" w:hAnsi="Cambria Math"/>
                <w:sz w:val="24"/>
                <w:szCs w:val="24"/>
                <w:lang w:val="en-US"/>
              </w:rPr>
              <m:t>p</m:t>
            </m:r>
          </m:sub>
        </m:sSub>
        <m:d>
          <m:dPr>
            <m:begChr m:val="{"/>
            <m:endChr m:val="}"/>
            <m:ctrlPr>
              <w:rPr>
                <w:rFonts w:ascii="Cambria Math" w:hAnsi="Cambria Math"/>
                <w:i/>
                <w:sz w:val="24"/>
                <w:szCs w:val="24"/>
                <w:lang w:val="en-US"/>
              </w:rPr>
            </m:ctrlPr>
          </m:dPr>
          <m:e>
            <m:r>
              <w:rPr>
                <w:rFonts w:ascii="Cambria Math" w:hAnsi="Cambria Math"/>
                <w:sz w:val="24"/>
                <w:szCs w:val="24"/>
                <w:lang w:val="en-US"/>
              </w:rPr>
              <m:t>E</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M</m:t>
                    </m:r>
                  </m:sub>
                </m:sSub>
              </m:e>
            </m:d>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BR</m:t>
                </m:r>
              </m:sub>
            </m:sSub>
          </m:e>
        </m:d>
      </m:oMath>
      <w:r w:rsidR="00DA1A1B">
        <w:rPr>
          <w:rFonts w:ascii="Times New Roman" w:hAnsi="Times New Roman"/>
          <w:sz w:val="24"/>
          <w:szCs w:val="24"/>
          <w:lang w:val="en-US"/>
        </w:rPr>
        <w:tab/>
      </w:r>
      <w:r w:rsidR="00DA1A1B">
        <w:rPr>
          <w:rFonts w:ascii="Times New Roman" w:hAnsi="Times New Roman"/>
          <w:sz w:val="24"/>
          <w:szCs w:val="24"/>
          <w:lang w:val="en-US"/>
        </w:rPr>
        <w:tab/>
      </w:r>
      <w:r w:rsidR="00DA1A1B">
        <w:rPr>
          <w:rFonts w:ascii="Times New Roman" w:hAnsi="Times New Roman"/>
          <w:sz w:val="24"/>
          <w:szCs w:val="24"/>
          <w:lang w:val="en-US"/>
        </w:rPr>
        <w:tab/>
      </w:r>
      <w:r w:rsidR="00DA1A1B">
        <w:rPr>
          <w:rFonts w:ascii="Times New Roman" w:hAnsi="Times New Roman"/>
          <w:sz w:val="24"/>
          <w:szCs w:val="24"/>
          <w:lang w:val="en-US"/>
        </w:rPr>
        <w:tab/>
        <w:t xml:space="preserve"> </w:t>
      </w:r>
      <w:r>
        <w:rPr>
          <w:rFonts w:ascii="Times New Roman" w:hAnsi="Times New Roman"/>
          <w:sz w:val="24"/>
          <w:szCs w:val="24"/>
          <w:lang w:val="en-US"/>
        </w:rPr>
        <w:t>(8)</w:t>
      </w:r>
    </w:p>
    <w:p w:rsidR="008D3934" w:rsidRDefault="008D3934" w:rsidP="00DA1A1B">
      <w:pPr>
        <w:pStyle w:val="NoSpacing"/>
        <w:spacing w:line="480" w:lineRule="auto"/>
        <w:jc w:val="both"/>
        <w:rPr>
          <w:rFonts w:ascii="Times New Roman" w:hAnsi="Times New Roman"/>
          <w:sz w:val="24"/>
          <w:szCs w:val="24"/>
          <w:lang w:val="en-US"/>
        </w:rPr>
      </w:pPr>
      <w:r>
        <w:rPr>
          <w:rFonts w:ascii="Times New Roman" w:hAnsi="Times New Roman"/>
          <w:b/>
          <w:sz w:val="24"/>
          <w:szCs w:val="24"/>
          <w:lang w:val="en-US"/>
        </w:rPr>
        <w:tab/>
      </w:r>
      <w:r w:rsidRPr="008D3934">
        <w:rPr>
          <w:rFonts w:ascii="Times New Roman" w:hAnsi="Times New Roman"/>
          <w:sz w:val="24"/>
          <w:szCs w:val="24"/>
          <w:lang w:val="en-US"/>
        </w:rPr>
        <w:t>Dimana,</w:t>
      </w:r>
      <w:r>
        <w:rPr>
          <w:rFonts w:ascii="Times New Roman" w:hAnsi="Times New Roman"/>
          <w:sz w:val="24"/>
          <w:szCs w:val="24"/>
          <w:lang w:val="en-US"/>
        </w:rPr>
        <w:t xml:space="preserve"> proporsi untuk setiap saham dapat ditulis sebagai berikut: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345"/>
        <w:gridCol w:w="1413"/>
      </w:tblGrid>
      <w:tr w:rsidR="008D3934" w:rsidTr="008D3934">
        <w:trPr>
          <w:trHeight w:val="1008"/>
        </w:trPr>
        <w:tc>
          <w:tcPr>
            <w:tcW w:w="6345" w:type="dxa"/>
          </w:tcPr>
          <w:p w:rsidR="008D3934" w:rsidRDefault="008D3934" w:rsidP="00467397">
            <w:pPr>
              <w:spacing w:line="480" w:lineRule="auto"/>
              <w:jc w:val="center"/>
              <w:rPr>
                <w:sz w:val="24"/>
                <w:szCs w:val="24"/>
                <w:lang w:val="sv-SE"/>
              </w:rPr>
            </w:pPr>
            <w:r w:rsidRPr="00687CE2">
              <w:rPr>
                <w:rFonts w:ascii="Calibri" w:eastAsia="Calibri" w:hAnsi="Calibri"/>
                <w:position w:val="-32"/>
                <w:sz w:val="24"/>
                <w:szCs w:val="24"/>
                <w:lang w:val="sv-SE"/>
              </w:rPr>
              <w:object w:dxaOrig="3260" w:dyaOrig="700">
                <v:shape id="_x0000_i1026" type="#_x0000_t75" style="width:163pt;height:35pt" o:ole="">
                  <v:imagedata r:id="rId13" o:title=""/>
                </v:shape>
                <o:OLEObject Type="Embed" ProgID="Equation.DSMT4" ShapeID="_x0000_i1026" DrawAspect="Content" ObjectID="_1446123131" r:id="rId14"/>
              </w:object>
            </w:r>
          </w:p>
        </w:tc>
        <w:tc>
          <w:tcPr>
            <w:tcW w:w="1413" w:type="dxa"/>
            <w:vAlign w:val="center"/>
          </w:tcPr>
          <w:p w:rsidR="008D3934" w:rsidRDefault="008D3934" w:rsidP="008D3934">
            <w:pPr>
              <w:spacing w:line="480" w:lineRule="auto"/>
              <w:jc w:val="right"/>
              <w:rPr>
                <w:sz w:val="24"/>
                <w:szCs w:val="24"/>
                <w:lang w:val="sv-SE"/>
              </w:rPr>
            </w:pPr>
            <w:r>
              <w:rPr>
                <w:sz w:val="24"/>
                <w:szCs w:val="24"/>
                <w:lang w:val="sv-SE"/>
              </w:rPr>
              <w:t>(9)</w:t>
            </w:r>
          </w:p>
        </w:tc>
      </w:tr>
    </w:tbl>
    <w:p w:rsidR="008D3934" w:rsidRPr="008D3934" w:rsidRDefault="008D3934" w:rsidP="00DA1A1B">
      <w:pPr>
        <w:pStyle w:val="NoSpacing"/>
        <w:spacing w:line="480" w:lineRule="auto"/>
        <w:jc w:val="both"/>
        <w:rPr>
          <w:rFonts w:ascii="Times New Roman" w:hAnsi="Times New Roman"/>
          <w:b/>
          <w:sz w:val="24"/>
          <w:szCs w:val="24"/>
          <w:lang w:val="en-US"/>
        </w:rPr>
      </w:pPr>
      <w:r w:rsidRPr="008D3934">
        <w:rPr>
          <w:rFonts w:ascii="Times New Roman" w:hAnsi="Times New Roman"/>
          <w:b/>
          <w:sz w:val="24"/>
          <w:szCs w:val="24"/>
          <w:lang w:val="en-US"/>
        </w:rPr>
        <w:tab/>
      </w:r>
    </w:p>
    <w:p w:rsidR="000A621B" w:rsidRPr="006F6DEE" w:rsidRDefault="00E11D59" w:rsidP="00DA1A1B">
      <w:pPr>
        <w:pStyle w:val="NoSpacing"/>
        <w:spacing w:line="480" w:lineRule="auto"/>
        <w:jc w:val="both"/>
        <w:rPr>
          <w:rFonts w:ascii="Times New Roman" w:hAnsi="Times New Roman"/>
          <w:b/>
          <w:sz w:val="24"/>
          <w:szCs w:val="24"/>
        </w:rPr>
      </w:pPr>
      <w:r>
        <w:rPr>
          <w:rFonts w:ascii="Times New Roman" w:hAnsi="Times New Roman"/>
          <w:b/>
          <w:sz w:val="24"/>
          <w:szCs w:val="24"/>
          <w:lang w:val="en-US"/>
        </w:rPr>
        <w:t>3</w:t>
      </w:r>
      <w:r w:rsidR="00C54AC3" w:rsidRPr="006F6DEE">
        <w:rPr>
          <w:rFonts w:ascii="Times New Roman" w:hAnsi="Times New Roman"/>
          <w:b/>
          <w:sz w:val="24"/>
          <w:szCs w:val="24"/>
        </w:rPr>
        <w:t>. METODE PENELITIAN</w:t>
      </w:r>
      <w:r w:rsidR="000A621B" w:rsidRPr="006F6DEE">
        <w:rPr>
          <w:rFonts w:ascii="Times New Roman" w:hAnsi="Times New Roman"/>
          <w:b/>
          <w:sz w:val="24"/>
          <w:szCs w:val="24"/>
        </w:rPr>
        <w:tab/>
      </w:r>
      <w:r w:rsidR="000A621B" w:rsidRPr="006F6DEE">
        <w:rPr>
          <w:rFonts w:ascii="Times New Roman" w:hAnsi="Times New Roman"/>
          <w:b/>
          <w:sz w:val="24"/>
          <w:szCs w:val="24"/>
        </w:rPr>
        <w:tab/>
      </w:r>
    </w:p>
    <w:p w:rsidR="00E11D59" w:rsidRDefault="005B409E" w:rsidP="00E11D59">
      <w:pPr>
        <w:pStyle w:val="BodyTextIndent"/>
        <w:tabs>
          <w:tab w:val="left" w:pos="426"/>
        </w:tabs>
        <w:ind w:left="0" w:firstLine="0"/>
        <w:rPr>
          <w:rFonts w:asciiTheme="majorBidi" w:hAnsiTheme="majorBidi" w:cstheme="majorBidi"/>
          <w:lang w:val="en-US"/>
        </w:rPr>
      </w:pPr>
      <w:r>
        <w:rPr>
          <w:rFonts w:asciiTheme="majorBidi" w:hAnsiTheme="majorBidi" w:cstheme="majorBidi"/>
        </w:rPr>
        <w:tab/>
      </w:r>
      <w:r w:rsidR="00E11D59">
        <w:rPr>
          <w:rFonts w:asciiTheme="majorBidi" w:hAnsiTheme="majorBidi" w:cstheme="majorBidi"/>
        </w:rPr>
        <w:t>D</w:t>
      </w:r>
      <w:r w:rsidRPr="005B409E">
        <w:rPr>
          <w:rFonts w:asciiTheme="majorBidi" w:hAnsiTheme="majorBidi" w:cstheme="majorBidi"/>
        </w:rPr>
        <w:t>ata yang akan digunakan adalah d</w:t>
      </w:r>
      <w:r w:rsidRPr="005B409E">
        <w:rPr>
          <w:rFonts w:asciiTheme="majorBidi" w:hAnsiTheme="majorBidi" w:cstheme="majorBidi"/>
          <w:lang w:val="id-ID"/>
        </w:rPr>
        <w:t>a</w:t>
      </w:r>
      <w:r w:rsidRPr="005B409E">
        <w:rPr>
          <w:rFonts w:asciiTheme="majorBidi" w:hAnsiTheme="majorBidi" w:cstheme="majorBidi"/>
        </w:rPr>
        <w:t xml:space="preserve">ta </w:t>
      </w:r>
      <w:r w:rsidRPr="005B409E">
        <w:rPr>
          <w:rFonts w:asciiTheme="majorBidi" w:hAnsiTheme="majorBidi" w:cstheme="majorBidi"/>
          <w:lang w:val="id-ID"/>
        </w:rPr>
        <w:t>sekunder</w:t>
      </w:r>
      <w:r w:rsidRPr="005B409E">
        <w:rPr>
          <w:rFonts w:asciiTheme="majorBidi" w:hAnsiTheme="majorBidi" w:cstheme="majorBidi"/>
        </w:rPr>
        <w:t xml:space="preserve"> </w:t>
      </w:r>
      <w:r w:rsidR="00E11D59">
        <w:rPr>
          <w:rFonts w:asciiTheme="majorBidi" w:hAnsiTheme="majorBidi" w:cstheme="majorBidi"/>
        </w:rPr>
        <w:t>yang</w:t>
      </w:r>
      <w:r w:rsidR="00DA1A1B">
        <w:rPr>
          <w:rFonts w:asciiTheme="majorBidi" w:hAnsiTheme="majorBidi" w:cstheme="majorBidi"/>
        </w:rPr>
        <w:t xml:space="preserve"> </w:t>
      </w:r>
      <w:r w:rsidRPr="005B409E">
        <w:rPr>
          <w:rFonts w:asciiTheme="majorBidi" w:hAnsiTheme="majorBidi" w:cstheme="majorBidi"/>
        </w:rPr>
        <w:t xml:space="preserve">diperoleh dari </w:t>
      </w:r>
      <w:r w:rsidRPr="005B409E">
        <w:rPr>
          <w:rFonts w:asciiTheme="majorBidi" w:hAnsiTheme="majorBidi" w:cstheme="majorBidi"/>
          <w:lang w:val="id-ID"/>
        </w:rPr>
        <w:t xml:space="preserve">website </w:t>
      </w:r>
      <w:hyperlink r:id="rId15" w:history="1">
        <w:r w:rsidRPr="005B409E">
          <w:rPr>
            <w:rStyle w:val="Hyperlink"/>
            <w:rFonts w:asciiTheme="majorBidi" w:hAnsiTheme="majorBidi" w:cstheme="majorBidi"/>
            <w:lang w:val="id-ID"/>
          </w:rPr>
          <w:t>www.yahoo.finance.com</w:t>
        </w:r>
      </w:hyperlink>
      <w:r w:rsidRPr="005B409E">
        <w:rPr>
          <w:rFonts w:asciiTheme="majorBidi" w:hAnsiTheme="majorBidi" w:cstheme="majorBidi"/>
          <w:lang w:val="id-ID"/>
        </w:rPr>
        <w:t xml:space="preserve"> dan </w:t>
      </w:r>
      <w:hyperlink r:id="rId16" w:history="1">
        <w:r w:rsidRPr="005B409E">
          <w:rPr>
            <w:rStyle w:val="Hyperlink"/>
            <w:rFonts w:asciiTheme="majorBidi" w:hAnsiTheme="majorBidi" w:cstheme="majorBidi"/>
            <w:lang w:val="id-ID"/>
          </w:rPr>
          <w:t>www.bi.go.id</w:t>
        </w:r>
      </w:hyperlink>
      <w:r w:rsidR="00DA1A1B">
        <w:t>,</w:t>
      </w:r>
      <w:r w:rsidRPr="005B409E">
        <w:rPr>
          <w:rFonts w:asciiTheme="majorBidi" w:hAnsiTheme="majorBidi" w:cstheme="majorBidi"/>
          <w:lang w:val="id-ID"/>
        </w:rPr>
        <w:t xml:space="preserve"> </w:t>
      </w:r>
      <w:r w:rsidR="00DA1A1B">
        <w:rPr>
          <w:rFonts w:asciiTheme="majorBidi" w:hAnsiTheme="majorBidi" w:cstheme="majorBidi"/>
          <w:lang w:val="en-US"/>
        </w:rPr>
        <w:t xml:space="preserve">adapun data yang </w:t>
      </w:r>
      <w:r w:rsidRPr="005B409E">
        <w:rPr>
          <w:rFonts w:asciiTheme="majorBidi" w:hAnsiTheme="majorBidi" w:cstheme="majorBidi"/>
          <w:lang w:val="id-ID"/>
        </w:rPr>
        <w:t xml:space="preserve">digunakan </w:t>
      </w:r>
      <w:r w:rsidR="00DA1A1B">
        <w:rPr>
          <w:rFonts w:asciiTheme="majorBidi" w:hAnsiTheme="majorBidi" w:cstheme="majorBidi"/>
          <w:lang w:val="en-US"/>
        </w:rPr>
        <w:t>adalah</w:t>
      </w:r>
      <w:r w:rsidRPr="005B409E">
        <w:rPr>
          <w:rFonts w:asciiTheme="majorBidi" w:hAnsiTheme="majorBidi" w:cstheme="majorBidi"/>
          <w:lang w:val="id-ID"/>
        </w:rPr>
        <w:t xml:space="preserve"> data saham syariah yang tergabung dalam </w:t>
      </w:r>
      <w:r w:rsidRPr="005B409E">
        <w:rPr>
          <w:rFonts w:asciiTheme="majorBidi" w:hAnsiTheme="majorBidi" w:cstheme="majorBidi"/>
          <w:i/>
          <w:iCs/>
          <w:lang w:val="id-ID"/>
        </w:rPr>
        <w:t>Jakarta Islamic Indeks</w:t>
      </w:r>
      <w:r w:rsidRPr="005B409E">
        <w:rPr>
          <w:rFonts w:asciiTheme="majorBidi" w:hAnsiTheme="majorBidi" w:cstheme="majorBidi"/>
          <w:lang w:val="id-ID"/>
        </w:rPr>
        <w:t xml:space="preserve"> (JII</w:t>
      </w:r>
      <w:r w:rsidR="00FB0347">
        <w:rPr>
          <w:rFonts w:asciiTheme="majorBidi" w:hAnsiTheme="majorBidi" w:cstheme="majorBidi"/>
          <w:lang w:val="en-US"/>
        </w:rPr>
        <w:t>), data IHSG, da</w:t>
      </w:r>
      <w:r w:rsidR="00DA1A1B">
        <w:rPr>
          <w:rFonts w:asciiTheme="majorBidi" w:hAnsiTheme="majorBidi" w:cstheme="majorBidi"/>
          <w:lang w:val="en-US"/>
        </w:rPr>
        <w:t>n SBI periode Januari 2011-Juni</w:t>
      </w:r>
      <w:r w:rsidR="00FB0347">
        <w:rPr>
          <w:rFonts w:asciiTheme="majorBidi" w:hAnsiTheme="majorBidi" w:cstheme="majorBidi"/>
          <w:lang w:val="en-US"/>
        </w:rPr>
        <w:t xml:space="preserve"> 2013</w:t>
      </w:r>
      <w:r w:rsidR="00803570">
        <w:rPr>
          <w:rFonts w:asciiTheme="majorBidi" w:hAnsiTheme="majorBidi" w:cstheme="majorBidi"/>
          <w:lang w:val="en-US"/>
        </w:rPr>
        <w:t>.</w:t>
      </w:r>
      <w:r w:rsidR="00DA1A1B">
        <w:rPr>
          <w:rFonts w:asciiTheme="majorBidi" w:hAnsiTheme="majorBidi" w:cstheme="majorBidi"/>
          <w:lang w:val="en-US"/>
        </w:rPr>
        <w:t xml:space="preserve"> </w:t>
      </w:r>
    </w:p>
    <w:p w:rsidR="005B409E" w:rsidRDefault="007E3845" w:rsidP="00321244">
      <w:pPr>
        <w:spacing w:after="240" w:line="360" w:lineRule="auto"/>
        <w:ind w:firstLine="720"/>
        <w:jc w:val="both"/>
        <w:rPr>
          <w:rFonts w:asciiTheme="majorBidi" w:hAnsiTheme="majorBidi" w:cstheme="majorBidi"/>
          <w:iCs/>
          <w:sz w:val="24"/>
          <w:szCs w:val="24"/>
          <w:lang w:val="en-US"/>
        </w:rPr>
      </w:pPr>
      <w:r>
        <w:rPr>
          <w:rFonts w:asciiTheme="majorBidi" w:hAnsiTheme="majorBidi" w:cstheme="majorBidi"/>
          <w:sz w:val="24"/>
          <w:szCs w:val="24"/>
          <w:lang w:val="sv-SE"/>
        </w:rPr>
        <w:t xml:space="preserve">Adapun </w:t>
      </w:r>
      <w:r>
        <w:rPr>
          <w:rFonts w:asciiTheme="majorBidi" w:hAnsiTheme="majorBidi" w:cstheme="majorBidi"/>
          <w:iCs/>
          <w:sz w:val="24"/>
          <w:szCs w:val="24"/>
          <w:lang w:val="sv-SE"/>
        </w:rPr>
        <w:t>t</w:t>
      </w:r>
      <w:r w:rsidR="005B409E" w:rsidRPr="00B81B0F">
        <w:rPr>
          <w:rFonts w:asciiTheme="majorBidi" w:hAnsiTheme="majorBidi" w:cstheme="majorBidi"/>
          <w:iCs/>
          <w:sz w:val="24"/>
          <w:szCs w:val="24"/>
          <w:lang w:val="sv-SE"/>
        </w:rPr>
        <w:t>eknik pengambilan sampel</w:t>
      </w:r>
      <w:r w:rsidR="005B409E">
        <w:rPr>
          <w:rFonts w:asciiTheme="majorBidi" w:hAnsiTheme="majorBidi" w:cstheme="majorBidi"/>
          <w:iCs/>
          <w:sz w:val="24"/>
          <w:szCs w:val="24"/>
        </w:rPr>
        <w:t xml:space="preserve"> yang digunakan adalah</w:t>
      </w:r>
      <w:r w:rsidR="005B409E" w:rsidRPr="00B81B0F">
        <w:rPr>
          <w:rFonts w:asciiTheme="majorBidi" w:hAnsiTheme="majorBidi" w:cstheme="majorBidi"/>
          <w:iCs/>
          <w:sz w:val="24"/>
          <w:szCs w:val="24"/>
          <w:lang w:val="sv-SE"/>
        </w:rPr>
        <w:t xml:space="preserve"> </w:t>
      </w:r>
      <w:r w:rsidR="005B409E" w:rsidRPr="00B81B0F">
        <w:rPr>
          <w:rFonts w:asciiTheme="majorBidi" w:hAnsiTheme="majorBidi" w:cstheme="majorBidi"/>
          <w:i/>
          <w:sz w:val="24"/>
          <w:szCs w:val="24"/>
          <w:lang w:val="sv-SE"/>
        </w:rPr>
        <w:t>purposive</w:t>
      </w:r>
      <w:r w:rsidR="005B409E">
        <w:rPr>
          <w:rFonts w:asciiTheme="majorBidi" w:hAnsiTheme="majorBidi" w:cstheme="majorBidi"/>
          <w:i/>
          <w:sz w:val="24"/>
          <w:szCs w:val="24"/>
        </w:rPr>
        <w:t xml:space="preserve"> random</w:t>
      </w:r>
      <w:r w:rsidR="005B409E" w:rsidRPr="00B81B0F">
        <w:rPr>
          <w:rFonts w:asciiTheme="majorBidi" w:hAnsiTheme="majorBidi" w:cstheme="majorBidi"/>
          <w:i/>
          <w:sz w:val="24"/>
          <w:szCs w:val="24"/>
          <w:lang w:val="sv-SE"/>
        </w:rPr>
        <w:t xml:space="preserve"> sampling</w:t>
      </w:r>
      <w:r w:rsidR="005B409E" w:rsidRPr="00B81B0F">
        <w:rPr>
          <w:rFonts w:asciiTheme="majorBidi" w:hAnsiTheme="majorBidi" w:cstheme="majorBidi"/>
          <w:iCs/>
          <w:sz w:val="24"/>
          <w:szCs w:val="24"/>
          <w:lang w:val="sv-SE"/>
        </w:rPr>
        <w:t xml:space="preserve"> yaitu </w:t>
      </w:r>
      <w:r w:rsidR="005B409E">
        <w:rPr>
          <w:rFonts w:asciiTheme="majorBidi" w:hAnsiTheme="majorBidi" w:cstheme="majorBidi"/>
          <w:iCs/>
          <w:sz w:val="24"/>
          <w:szCs w:val="24"/>
        </w:rPr>
        <w:t xml:space="preserve">teknik </w:t>
      </w:r>
      <w:r w:rsidR="005B409E" w:rsidRPr="00B81B0F">
        <w:rPr>
          <w:rFonts w:asciiTheme="majorBidi" w:hAnsiTheme="majorBidi" w:cstheme="majorBidi"/>
          <w:iCs/>
          <w:sz w:val="24"/>
          <w:szCs w:val="24"/>
          <w:lang w:val="sv-SE"/>
        </w:rPr>
        <w:t>pengambilan sampel yang dilakukan terhadap populasi yang memiliki kriteria</w:t>
      </w:r>
      <w:r w:rsidR="005B409E">
        <w:rPr>
          <w:rFonts w:asciiTheme="majorBidi" w:hAnsiTheme="majorBidi" w:cstheme="majorBidi"/>
          <w:iCs/>
          <w:sz w:val="24"/>
          <w:szCs w:val="24"/>
        </w:rPr>
        <w:t>-kriteria</w:t>
      </w:r>
      <w:r w:rsidR="005B409E" w:rsidRPr="00B81B0F">
        <w:rPr>
          <w:rFonts w:asciiTheme="majorBidi" w:hAnsiTheme="majorBidi" w:cstheme="majorBidi"/>
          <w:iCs/>
          <w:sz w:val="24"/>
          <w:szCs w:val="24"/>
          <w:lang w:val="sv-SE"/>
        </w:rPr>
        <w:t xml:space="preserve"> tertentu</w:t>
      </w:r>
      <w:r w:rsidR="005B409E" w:rsidRPr="00B81B0F">
        <w:rPr>
          <w:rFonts w:asciiTheme="majorBidi" w:hAnsiTheme="majorBidi" w:cstheme="majorBidi"/>
          <w:iCs/>
          <w:sz w:val="24"/>
          <w:szCs w:val="24"/>
        </w:rPr>
        <w:t>.</w:t>
      </w:r>
      <w:r w:rsidR="00FB0347">
        <w:rPr>
          <w:rFonts w:asciiTheme="majorBidi" w:hAnsiTheme="majorBidi" w:cstheme="majorBidi"/>
          <w:iCs/>
          <w:sz w:val="24"/>
          <w:szCs w:val="24"/>
        </w:rPr>
        <w:t xml:space="preserve"> Kriteria tersebut adalah</w:t>
      </w:r>
      <w:r w:rsidR="00FB0347">
        <w:rPr>
          <w:rFonts w:asciiTheme="majorBidi" w:hAnsiTheme="majorBidi" w:cstheme="majorBidi"/>
          <w:iCs/>
          <w:sz w:val="24"/>
          <w:szCs w:val="24"/>
          <w:lang w:val="en-US"/>
        </w:rPr>
        <w:t>:</w:t>
      </w:r>
      <w:r w:rsidR="00FB0347">
        <w:rPr>
          <w:rFonts w:asciiTheme="majorBidi" w:hAnsiTheme="majorBidi" w:cstheme="majorBidi"/>
          <w:iCs/>
          <w:sz w:val="24"/>
          <w:szCs w:val="24"/>
        </w:rPr>
        <w:t xml:space="preserve"> </w:t>
      </w:r>
      <w:r w:rsidR="005B409E" w:rsidRPr="00FB0347">
        <w:rPr>
          <w:rFonts w:asciiTheme="majorBidi" w:hAnsiTheme="majorBidi" w:cstheme="majorBidi"/>
          <w:i/>
          <w:iCs/>
          <w:sz w:val="24"/>
          <w:szCs w:val="24"/>
        </w:rPr>
        <w:lastRenderedPageBreak/>
        <w:t>pertama</w:t>
      </w:r>
      <w:r w:rsidR="00FB0347">
        <w:rPr>
          <w:rFonts w:asciiTheme="majorBidi" w:hAnsiTheme="majorBidi" w:cstheme="majorBidi"/>
          <w:iCs/>
          <w:sz w:val="24"/>
          <w:szCs w:val="24"/>
          <w:lang w:val="en-US"/>
        </w:rPr>
        <w:t>,</w:t>
      </w:r>
      <w:r w:rsidR="005B409E">
        <w:rPr>
          <w:rFonts w:asciiTheme="majorBidi" w:hAnsiTheme="majorBidi" w:cstheme="majorBidi"/>
          <w:iCs/>
          <w:sz w:val="24"/>
          <w:szCs w:val="24"/>
        </w:rPr>
        <w:t xml:space="preserve"> dipilih saham-saham yang selalu k</w:t>
      </w:r>
      <w:r w:rsidR="00FB0347">
        <w:rPr>
          <w:rFonts w:asciiTheme="majorBidi" w:hAnsiTheme="majorBidi" w:cstheme="majorBidi"/>
          <w:iCs/>
          <w:sz w:val="24"/>
          <w:szCs w:val="24"/>
        </w:rPr>
        <w:t>onsisten masuk dalam saham JII</w:t>
      </w:r>
      <w:r w:rsidR="00FB0347">
        <w:rPr>
          <w:rFonts w:asciiTheme="majorBidi" w:hAnsiTheme="majorBidi" w:cstheme="majorBidi"/>
          <w:iCs/>
          <w:sz w:val="24"/>
          <w:szCs w:val="24"/>
          <w:lang w:val="en-US"/>
        </w:rPr>
        <w:t xml:space="preserve"> dan </w:t>
      </w:r>
      <w:r w:rsidR="005B409E" w:rsidRPr="00FB0347">
        <w:rPr>
          <w:rFonts w:asciiTheme="majorBidi" w:hAnsiTheme="majorBidi" w:cstheme="majorBidi"/>
          <w:i/>
          <w:iCs/>
          <w:sz w:val="24"/>
          <w:szCs w:val="24"/>
        </w:rPr>
        <w:t>kedua</w:t>
      </w:r>
      <w:r w:rsidR="00FB0347">
        <w:rPr>
          <w:rFonts w:asciiTheme="majorBidi" w:hAnsiTheme="majorBidi" w:cstheme="majorBidi"/>
          <w:iCs/>
          <w:sz w:val="24"/>
          <w:szCs w:val="24"/>
          <w:lang w:val="en-US"/>
        </w:rPr>
        <w:t xml:space="preserve">, </w:t>
      </w:r>
      <w:r w:rsidR="005B409E">
        <w:rPr>
          <w:rFonts w:asciiTheme="majorBidi" w:hAnsiTheme="majorBidi" w:cstheme="majorBidi"/>
          <w:iCs/>
          <w:sz w:val="24"/>
          <w:szCs w:val="24"/>
        </w:rPr>
        <w:t xml:space="preserve">berdasarkan saham yang konsisten masuk JII dipilih saham-saham memiliki nilai </w:t>
      </w:r>
      <w:r w:rsidR="005B409E" w:rsidRPr="00D33754">
        <w:rPr>
          <w:rFonts w:asciiTheme="majorBidi" w:hAnsiTheme="majorBidi" w:cstheme="majorBidi"/>
          <w:i/>
          <w:sz w:val="24"/>
          <w:szCs w:val="24"/>
        </w:rPr>
        <w:t>mean return</w:t>
      </w:r>
      <w:r w:rsidR="005B409E">
        <w:rPr>
          <w:rFonts w:asciiTheme="majorBidi" w:hAnsiTheme="majorBidi" w:cstheme="majorBidi"/>
          <w:iCs/>
          <w:sz w:val="24"/>
          <w:szCs w:val="24"/>
        </w:rPr>
        <w:t xml:space="preserve"> positif.</w:t>
      </w:r>
      <w:r w:rsidR="005B409E" w:rsidRPr="007E3845">
        <w:rPr>
          <w:rFonts w:asciiTheme="majorBidi" w:hAnsiTheme="majorBidi" w:cstheme="majorBidi"/>
          <w:iCs/>
          <w:sz w:val="24"/>
          <w:szCs w:val="24"/>
        </w:rPr>
        <w:t xml:space="preserve"> </w:t>
      </w:r>
      <w:r w:rsidRPr="007E3845">
        <w:rPr>
          <w:rFonts w:asciiTheme="majorBidi" w:hAnsiTheme="majorBidi" w:cstheme="majorBidi"/>
          <w:iCs/>
          <w:sz w:val="24"/>
          <w:szCs w:val="24"/>
          <w:lang w:val="en-US"/>
        </w:rPr>
        <w:t>Berikut data sampelnya:</w:t>
      </w:r>
    </w:p>
    <w:p w:rsidR="007E3845" w:rsidRPr="00B72321" w:rsidRDefault="00DA29A0" w:rsidP="007E3845">
      <w:pPr>
        <w:pStyle w:val="NoSpacing"/>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Tabel 1</w:t>
      </w:r>
      <w:r w:rsidR="007E3845">
        <w:rPr>
          <w:rFonts w:ascii="Times New Roman" w:hAnsi="Times New Roman"/>
          <w:color w:val="000000" w:themeColor="text1"/>
          <w:sz w:val="24"/>
          <w:szCs w:val="24"/>
          <w:lang w:val="en-US"/>
        </w:rPr>
        <w:t xml:space="preserve"> Saham JII yang menjadi Sampel Penelitian</w:t>
      </w:r>
    </w:p>
    <w:p w:rsidR="007E3845" w:rsidRPr="00B72321" w:rsidRDefault="007E3845" w:rsidP="007E3845">
      <w:pPr>
        <w:pStyle w:val="NoSpacing"/>
        <w:jc w:val="both"/>
        <w:rPr>
          <w:rFonts w:ascii="Times New Roman" w:hAnsi="Times New Roman"/>
          <w:color w:val="000000" w:themeColor="text1"/>
          <w:sz w:val="24"/>
          <w:szCs w:val="24"/>
          <w:lang w:val="en-US"/>
        </w:rPr>
      </w:pPr>
    </w:p>
    <w:tbl>
      <w:tblPr>
        <w:tblStyle w:val="TableGrid"/>
        <w:tblW w:w="0" w:type="auto"/>
        <w:jc w:val="center"/>
        <w:tblLook w:val="04A0"/>
      </w:tblPr>
      <w:tblGrid>
        <w:gridCol w:w="640"/>
        <w:gridCol w:w="919"/>
        <w:gridCol w:w="3751"/>
        <w:gridCol w:w="1327"/>
      </w:tblGrid>
      <w:tr w:rsidR="007E3845" w:rsidRPr="00675BA0" w:rsidTr="00467397">
        <w:trPr>
          <w:jc w:val="center"/>
        </w:trPr>
        <w:tc>
          <w:tcPr>
            <w:tcW w:w="640" w:type="dxa"/>
            <w:shd w:val="clear" w:color="auto" w:fill="BFBFBF" w:themeFill="background1" w:themeFillShade="BF"/>
            <w:vAlign w:val="center"/>
          </w:tcPr>
          <w:p w:rsidR="007E3845" w:rsidRPr="00675BA0" w:rsidRDefault="007E3845" w:rsidP="00467397">
            <w:pPr>
              <w:pStyle w:val="NoSpacing"/>
              <w:rPr>
                <w:b/>
              </w:rPr>
            </w:pPr>
            <w:r w:rsidRPr="00675BA0">
              <w:rPr>
                <w:b/>
              </w:rPr>
              <w:t>No.</w:t>
            </w:r>
          </w:p>
        </w:tc>
        <w:tc>
          <w:tcPr>
            <w:tcW w:w="919" w:type="dxa"/>
            <w:shd w:val="clear" w:color="auto" w:fill="BFBFBF" w:themeFill="background1" w:themeFillShade="BF"/>
            <w:vAlign w:val="center"/>
          </w:tcPr>
          <w:p w:rsidR="007E3845" w:rsidRPr="00675BA0" w:rsidRDefault="007E3845" w:rsidP="00467397">
            <w:pPr>
              <w:pStyle w:val="NoSpacing"/>
              <w:rPr>
                <w:b/>
              </w:rPr>
            </w:pPr>
            <w:r w:rsidRPr="00675BA0">
              <w:rPr>
                <w:b/>
              </w:rPr>
              <w:t>Kode</w:t>
            </w:r>
          </w:p>
        </w:tc>
        <w:tc>
          <w:tcPr>
            <w:tcW w:w="3751" w:type="dxa"/>
            <w:shd w:val="clear" w:color="auto" w:fill="BFBFBF" w:themeFill="background1" w:themeFillShade="BF"/>
            <w:vAlign w:val="center"/>
          </w:tcPr>
          <w:p w:rsidR="007E3845" w:rsidRPr="00675BA0" w:rsidRDefault="007E3845" w:rsidP="00467397">
            <w:pPr>
              <w:pStyle w:val="NoSpacing"/>
              <w:rPr>
                <w:b/>
              </w:rPr>
            </w:pPr>
            <w:r w:rsidRPr="00675BA0">
              <w:rPr>
                <w:b/>
              </w:rPr>
              <w:t>Nama Emiten</w:t>
            </w:r>
          </w:p>
        </w:tc>
        <w:tc>
          <w:tcPr>
            <w:tcW w:w="1327" w:type="dxa"/>
            <w:shd w:val="clear" w:color="auto" w:fill="BFBFBF" w:themeFill="background1" w:themeFillShade="BF"/>
          </w:tcPr>
          <w:p w:rsidR="007E3845" w:rsidRPr="00675BA0" w:rsidRDefault="007E3845" w:rsidP="00467397">
            <w:pPr>
              <w:pStyle w:val="NoSpacing"/>
              <w:spacing w:line="276" w:lineRule="auto"/>
              <w:rPr>
                <w:b/>
                <w:lang w:val="en-US"/>
              </w:rPr>
            </w:pPr>
            <w:r w:rsidRPr="00675BA0">
              <w:rPr>
                <w:b/>
                <w:lang w:val="en-US"/>
              </w:rPr>
              <w:t>Return</w:t>
            </w:r>
          </w:p>
        </w:tc>
      </w:tr>
      <w:tr w:rsidR="007E3845" w:rsidRPr="0062342E" w:rsidTr="00467397">
        <w:trPr>
          <w:jc w:val="center"/>
        </w:trPr>
        <w:tc>
          <w:tcPr>
            <w:tcW w:w="640" w:type="dxa"/>
            <w:vAlign w:val="center"/>
          </w:tcPr>
          <w:p w:rsidR="007E3845" w:rsidRPr="0062342E" w:rsidRDefault="007E3845" w:rsidP="00467397">
            <w:pPr>
              <w:pStyle w:val="NoSpacing"/>
              <w:rPr>
                <w:lang w:val="en-US"/>
              </w:rPr>
            </w:pPr>
            <w:r w:rsidRPr="0062342E">
              <w:rPr>
                <w:lang w:val="en-US"/>
              </w:rPr>
              <w:t>1</w:t>
            </w:r>
          </w:p>
        </w:tc>
        <w:tc>
          <w:tcPr>
            <w:tcW w:w="919" w:type="dxa"/>
            <w:vAlign w:val="center"/>
          </w:tcPr>
          <w:p w:rsidR="007E3845" w:rsidRPr="0062342E" w:rsidRDefault="007E3845" w:rsidP="00467397">
            <w:pPr>
              <w:pStyle w:val="NoSpacing"/>
            </w:pPr>
            <w:r w:rsidRPr="0062342E">
              <w:t>ASII</w:t>
            </w:r>
          </w:p>
        </w:tc>
        <w:tc>
          <w:tcPr>
            <w:tcW w:w="3751" w:type="dxa"/>
            <w:vAlign w:val="center"/>
          </w:tcPr>
          <w:p w:rsidR="007E3845" w:rsidRPr="0062342E" w:rsidRDefault="007E3845" w:rsidP="00467397">
            <w:pPr>
              <w:pStyle w:val="NoSpacing"/>
            </w:pPr>
            <w:r w:rsidRPr="0062342E">
              <w:t>Astra International tbk</w:t>
            </w:r>
          </w:p>
        </w:tc>
        <w:tc>
          <w:tcPr>
            <w:tcW w:w="1327" w:type="dxa"/>
            <w:vAlign w:val="bottom"/>
          </w:tcPr>
          <w:p w:rsidR="007E3845" w:rsidRPr="0062342E" w:rsidRDefault="007E3845" w:rsidP="00467397">
            <w:pPr>
              <w:pStyle w:val="NoSpacing"/>
              <w:spacing w:line="276" w:lineRule="auto"/>
            </w:pPr>
            <w:r w:rsidRPr="0062342E">
              <w:t>0.000398</w:t>
            </w:r>
          </w:p>
        </w:tc>
      </w:tr>
      <w:tr w:rsidR="007E3845" w:rsidRPr="0062342E" w:rsidTr="00467397">
        <w:trPr>
          <w:jc w:val="center"/>
        </w:trPr>
        <w:tc>
          <w:tcPr>
            <w:tcW w:w="640" w:type="dxa"/>
            <w:vAlign w:val="center"/>
          </w:tcPr>
          <w:p w:rsidR="007E3845" w:rsidRPr="0062342E" w:rsidRDefault="007E3845" w:rsidP="00467397">
            <w:pPr>
              <w:pStyle w:val="NoSpacing"/>
              <w:rPr>
                <w:lang w:val="en-US"/>
              </w:rPr>
            </w:pPr>
            <w:r w:rsidRPr="0062342E">
              <w:rPr>
                <w:lang w:val="en-US"/>
              </w:rPr>
              <w:t>2</w:t>
            </w:r>
          </w:p>
        </w:tc>
        <w:tc>
          <w:tcPr>
            <w:tcW w:w="919" w:type="dxa"/>
            <w:vAlign w:val="center"/>
          </w:tcPr>
          <w:p w:rsidR="007E3845" w:rsidRPr="0062342E" w:rsidRDefault="007E3845" w:rsidP="00467397">
            <w:pPr>
              <w:pStyle w:val="NoSpacing"/>
              <w:rPr>
                <w:lang w:val="en-US"/>
              </w:rPr>
            </w:pPr>
            <w:r w:rsidRPr="0062342E">
              <w:rPr>
                <w:lang w:val="en-US"/>
              </w:rPr>
              <w:t>ASRI</w:t>
            </w:r>
          </w:p>
        </w:tc>
        <w:tc>
          <w:tcPr>
            <w:tcW w:w="3751" w:type="dxa"/>
            <w:vAlign w:val="center"/>
          </w:tcPr>
          <w:p w:rsidR="007E3845" w:rsidRPr="0062342E" w:rsidRDefault="007E3845" w:rsidP="00467397">
            <w:pPr>
              <w:pStyle w:val="NoSpacing"/>
            </w:pPr>
            <w:r w:rsidRPr="0062342E">
              <w:rPr>
                <w:lang w:val="en-US"/>
              </w:rPr>
              <w:t>Alam Sutera Realty</w:t>
            </w:r>
            <w:r w:rsidRPr="0062342E">
              <w:t xml:space="preserve"> tbk</w:t>
            </w:r>
          </w:p>
        </w:tc>
        <w:tc>
          <w:tcPr>
            <w:tcW w:w="1327" w:type="dxa"/>
            <w:vAlign w:val="bottom"/>
          </w:tcPr>
          <w:p w:rsidR="007E3845" w:rsidRPr="0062342E" w:rsidRDefault="007E3845" w:rsidP="00467397">
            <w:pPr>
              <w:pStyle w:val="NoSpacing"/>
              <w:spacing w:line="276" w:lineRule="auto"/>
            </w:pPr>
            <w:r w:rsidRPr="0062342E">
              <w:t>0.001419</w:t>
            </w:r>
          </w:p>
        </w:tc>
      </w:tr>
      <w:tr w:rsidR="007E3845" w:rsidRPr="0062342E" w:rsidTr="00467397">
        <w:trPr>
          <w:jc w:val="center"/>
        </w:trPr>
        <w:tc>
          <w:tcPr>
            <w:tcW w:w="640" w:type="dxa"/>
            <w:vAlign w:val="center"/>
          </w:tcPr>
          <w:p w:rsidR="007E3845" w:rsidRPr="0062342E" w:rsidRDefault="007E3845" w:rsidP="00467397">
            <w:pPr>
              <w:pStyle w:val="NoSpacing"/>
              <w:rPr>
                <w:lang w:val="en-US"/>
              </w:rPr>
            </w:pPr>
            <w:r w:rsidRPr="0062342E">
              <w:rPr>
                <w:lang w:val="en-US"/>
              </w:rPr>
              <w:t>3</w:t>
            </w:r>
          </w:p>
        </w:tc>
        <w:tc>
          <w:tcPr>
            <w:tcW w:w="919" w:type="dxa"/>
            <w:vAlign w:val="center"/>
          </w:tcPr>
          <w:p w:rsidR="007E3845" w:rsidRPr="0062342E" w:rsidRDefault="007E3845" w:rsidP="00467397">
            <w:pPr>
              <w:pStyle w:val="NoSpacing"/>
              <w:rPr>
                <w:lang w:val="en-US"/>
              </w:rPr>
            </w:pPr>
            <w:r w:rsidRPr="0062342E">
              <w:rPr>
                <w:lang w:val="en-US"/>
              </w:rPr>
              <w:t>CPIN</w:t>
            </w:r>
          </w:p>
        </w:tc>
        <w:tc>
          <w:tcPr>
            <w:tcW w:w="3751" w:type="dxa"/>
            <w:vAlign w:val="center"/>
          </w:tcPr>
          <w:p w:rsidR="007E3845" w:rsidRPr="0062342E" w:rsidRDefault="007E3845" w:rsidP="00467397">
            <w:pPr>
              <w:pStyle w:val="NoSpacing"/>
            </w:pPr>
            <w:r w:rsidRPr="0062342E">
              <w:rPr>
                <w:lang w:val="en-US"/>
              </w:rPr>
              <w:t xml:space="preserve">Charoen Pokphand Indonesia </w:t>
            </w:r>
            <w:r w:rsidRPr="0062342E">
              <w:t xml:space="preserve"> tbk</w:t>
            </w:r>
          </w:p>
        </w:tc>
        <w:tc>
          <w:tcPr>
            <w:tcW w:w="1327" w:type="dxa"/>
            <w:vAlign w:val="bottom"/>
          </w:tcPr>
          <w:p w:rsidR="007E3845" w:rsidRPr="0062342E" w:rsidRDefault="007E3845" w:rsidP="00467397">
            <w:pPr>
              <w:pStyle w:val="NoSpacing"/>
              <w:spacing w:line="276" w:lineRule="auto"/>
            </w:pPr>
            <w:r w:rsidRPr="0062342E">
              <w:t>0.001667</w:t>
            </w:r>
          </w:p>
        </w:tc>
      </w:tr>
      <w:tr w:rsidR="007E3845" w:rsidRPr="0062342E" w:rsidTr="00467397">
        <w:trPr>
          <w:jc w:val="center"/>
        </w:trPr>
        <w:tc>
          <w:tcPr>
            <w:tcW w:w="640" w:type="dxa"/>
            <w:vAlign w:val="center"/>
          </w:tcPr>
          <w:p w:rsidR="007E3845" w:rsidRPr="0062342E" w:rsidRDefault="007E3845" w:rsidP="00467397">
            <w:pPr>
              <w:pStyle w:val="NoSpacing"/>
              <w:rPr>
                <w:lang w:val="en-US"/>
              </w:rPr>
            </w:pPr>
            <w:r w:rsidRPr="0062342E">
              <w:rPr>
                <w:lang w:val="en-US"/>
              </w:rPr>
              <w:t>4</w:t>
            </w:r>
          </w:p>
        </w:tc>
        <w:tc>
          <w:tcPr>
            <w:tcW w:w="919" w:type="dxa"/>
            <w:vAlign w:val="center"/>
          </w:tcPr>
          <w:p w:rsidR="007E3845" w:rsidRPr="0062342E" w:rsidRDefault="007E3845" w:rsidP="00467397">
            <w:pPr>
              <w:pStyle w:val="NoSpacing"/>
            </w:pPr>
            <w:r w:rsidRPr="0062342E">
              <w:t>INTP</w:t>
            </w:r>
          </w:p>
        </w:tc>
        <w:tc>
          <w:tcPr>
            <w:tcW w:w="3751" w:type="dxa"/>
            <w:vAlign w:val="center"/>
          </w:tcPr>
          <w:p w:rsidR="007E3845" w:rsidRPr="0062342E" w:rsidRDefault="007E3845" w:rsidP="00467397">
            <w:pPr>
              <w:pStyle w:val="NoSpacing"/>
            </w:pPr>
            <w:r w:rsidRPr="0062342E">
              <w:t>Indocement Tunggal Prakarsa tbk</w:t>
            </w:r>
          </w:p>
        </w:tc>
        <w:tc>
          <w:tcPr>
            <w:tcW w:w="1327" w:type="dxa"/>
            <w:vAlign w:val="bottom"/>
          </w:tcPr>
          <w:p w:rsidR="007E3845" w:rsidRPr="0062342E" w:rsidRDefault="007E3845" w:rsidP="00467397">
            <w:pPr>
              <w:pStyle w:val="NoSpacing"/>
              <w:spacing w:line="276" w:lineRule="auto"/>
            </w:pPr>
            <w:r w:rsidRPr="0062342E">
              <w:t>0.000664</w:t>
            </w:r>
          </w:p>
        </w:tc>
      </w:tr>
      <w:tr w:rsidR="007E3845" w:rsidRPr="0062342E" w:rsidTr="00467397">
        <w:trPr>
          <w:jc w:val="center"/>
        </w:trPr>
        <w:tc>
          <w:tcPr>
            <w:tcW w:w="640" w:type="dxa"/>
            <w:vAlign w:val="center"/>
          </w:tcPr>
          <w:p w:rsidR="007E3845" w:rsidRPr="0062342E" w:rsidRDefault="007E3845" w:rsidP="00467397">
            <w:pPr>
              <w:pStyle w:val="NoSpacing"/>
              <w:rPr>
                <w:lang w:val="en-US"/>
              </w:rPr>
            </w:pPr>
            <w:r w:rsidRPr="0062342E">
              <w:rPr>
                <w:lang w:val="en-US"/>
              </w:rPr>
              <w:t>5</w:t>
            </w:r>
          </w:p>
        </w:tc>
        <w:tc>
          <w:tcPr>
            <w:tcW w:w="919" w:type="dxa"/>
            <w:vAlign w:val="center"/>
          </w:tcPr>
          <w:p w:rsidR="007E3845" w:rsidRPr="0062342E" w:rsidRDefault="007E3845" w:rsidP="00467397">
            <w:pPr>
              <w:pStyle w:val="NoSpacing"/>
            </w:pPr>
            <w:r w:rsidRPr="0062342E">
              <w:t>KLBF</w:t>
            </w:r>
          </w:p>
        </w:tc>
        <w:tc>
          <w:tcPr>
            <w:tcW w:w="3751" w:type="dxa"/>
            <w:vAlign w:val="center"/>
          </w:tcPr>
          <w:p w:rsidR="007E3845" w:rsidRPr="0062342E" w:rsidRDefault="007E3845" w:rsidP="00467397">
            <w:pPr>
              <w:pStyle w:val="NoSpacing"/>
            </w:pPr>
            <w:r w:rsidRPr="0062342E">
              <w:t>Kalbe Farma tbk</w:t>
            </w:r>
          </w:p>
        </w:tc>
        <w:tc>
          <w:tcPr>
            <w:tcW w:w="1327" w:type="dxa"/>
            <w:vAlign w:val="bottom"/>
          </w:tcPr>
          <w:p w:rsidR="007E3845" w:rsidRPr="0062342E" w:rsidRDefault="007E3845" w:rsidP="00467397">
            <w:pPr>
              <w:pStyle w:val="NoSpacing"/>
              <w:spacing w:line="276" w:lineRule="auto"/>
            </w:pPr>
            <w:r w:rsidRPr="0062342E">
              <w:t>0.001219</w:t>
            </w:r>
          </w:p>
        </w:tc>
      </w:tr>
      <w:tr w:rsidR="007E3845" w:rsidRPr="0062342E" w:rsidTr="00467397">
        <w:trPr>
          <w:jc w:val="center"/>
        </w:trPr>
        <w:tc>
          <w:tcPr>
            <w:tcW w:w="640" w:type="dxa"/>
            <w:vAlign w:val="center"/>
          </w:tcPr>
          <w:p w:rsidR="007E3845" w:rsidRPr="0062342E" w:rsidRDefault="007E3845" w:rsidP="00467397">
            <w:pPr>
              <w:pStyle w:val="NoSpacing"/>
              <w:rPr>
                <w:lang w:val="en-US"/>
              </w:rPr>
            </w:pPr>
            <w:r w:rsidRPr="0062342E">
              <w:rPr>
                <w:lang w:val="en-US"/>
              </w:rPr>
              <w:t>6</w:t>
            </w:r>
          </w:p>
        </w:tc>
        <w:tc>
          <w:tcPr>
            <w:tcW w:w="919" w:type="dxa"/>
            <w:vAlign w:val="center"/>
          </w:tcPr>
          <w:p w:rsidR="007E3845" w:rsidRPr="0062342E" w:rsidRDefault="007E3845" w:rsidP="00467397">
            <w:pPr>
              <w:pStyle w:val="NoSpacing"/>
              <w:rPr>
                <w:lang w:val="en-US"/>
              </w:rPr>
            </w:pPr>
            <w:r w:rsidRPr="0062342E">
              <w:rPr>
                <w:lang w:val="en-US"/>
              </w:rPr>
              <w:t>LPKR</w:t>
            </w:r>
          </w:p>
        </w:tc>
        <w:tc>
          <w:tcPr>
            <w:tcW w:w="3751" w:type="dxa"/>
            <w:vAlign w:val="center"/>
          </w:tcPr>
          <w:p w:rsidR="007E3845" w:rsidRPr="0062342E" w:rsidRDefault="007E3845" w:rsidP="00467397">
            <w:pPr>
              <w:pStyle w:val="NoSpacing"/>
              <w:rPr>
                <w:lang w:val="en-US"/>
              </w:rPr>
            </w:pPr>
            <w:r w:rsidRPr="0062342E">
              <w:rPr>
                <w:lang w:val="en-US"/>
              </w:rPr>
              <w:t>Lippo Karawaci tbk</w:t>
            </w:r>
          </w:p>
        </w:tc>
        <w:tc>
          <w:tcPr>
            <w:tcW w:w="1327" w:type="dxa"/>
            <w:vAlign w:val="bottom"/>
          </w:tcPr>
          <w:p w:rsidR="007E3845" w:rsidRPr="0062342E" w:rsidRDefault="007E3845" w:rsidP="00467397">
            <w:pPr>
              <w:pStyle w:val="NoSpacing"/>
              <w:spacing w:line="276" w:lineRule="auto"/>
            </w:pPr>
            <w:r w:rsidRPr="0062342E">
              <w:t>0.001201</w:t>
            </w:r>
          </w:p>
        </w:tc>
      </w:tr>
      <w:tr w:rsidR="007E3845" w:rsidRPr="0062342E" w:rsidTr="00467397">
        <w:trPr>
          <w:jc w:val="center"/>
        </w:trPr>
        <w:tc>
          <w:tcPr>
            <w:tcW w:w="640" w:type="dxa"/>
            <w:vAlign w:val="center"/>
          </w:tcPr>
          <w:p w:rsidR="007E3845" w:rsidRPr="0062342E" w:rsidRDefault="007E3845" w:rsidP="00467397">
            <w:pPr>
              <w:pStyle w:val="NoSpacing"/>
              <w:rPr>
                <w:lang w:val="en-US"/>
              </w:rPr>
            </w:pPr>
            <w:r w:rsidRPr="0062342E">
              <w:rPr>
                <w:lang w:val="en-US"/>
              </w:rPr>
              <w:t>7</w:t>
            </w:r>
          </w:p>
        </w:tc>
        <w:tc>
          <w:tcPr>
            <w:tcW w:w="919" w:type="dxa"/>
            <w:vAlign w:val="center"/>
          </w:tcPr>
          <w:p w:rsidR="007E3845" w:rsidRPr="0062342E" w:rsidRDefault="007E3845" w:rsidP="00467397">
            <w:pPr>
              <w:pStyle w:val="NoSpacing"/>
            </w:pPr>
            <w:r w:rsidRPr="0062342E">
              <w:t>SMGR</w:t>
            </w:r>
          </w:p>
        </w:tc>
        <w:tc>
          <w:tcPr>
            <w:tcW w:w="3751" w:type="dxa"/>
            <w:vAlign w:val="center"/>
          </w:tcPr>
          <w:p w:rsidR="007E3845" w:rsidRPr="0062342E" w:rsidRDefault="007E3845" w:rsidP="00467397">
            <w:pPr>
              <w:pStyle w:val="NoSpacing"/>
            </w:pPr>
            <w:r w:rsidRPr="0062342E">
              <w:t>Semen Gresik (Persero) tbk</w:t>
            </w:r>
          </w:p>
        </w:tc>
        <w:tc>
          <w:tcPr>
            <w:tcW w:w="1327" w:type="dxa"/>
            <w:vAlign w:val="bottom"/>
          </w:tcPr>
          <w:p w:rsidR="007E3845" w:rsidRPr="0062342E" w:rsidRDefault="007E3845" w:rsidP="00467397">
            <w:pPr>
              <w:pStyle w:val="NoSpacing"/>
              <w:spacing w:line="276" w:lineRule="auto"/>
            </w:pPr>
            <w:r w:rsidRPr="0062342E">
              <w:t>0.000870</w:t>
            </w:r>
          </w:p>
        </w:tc>
      </w:tr>
      <w:tr w:rsidR="007E3845" w:rsidRPr="0062342E" w:rsidTr="00467397">
        <w:trPr>
          <w:jc w:val="center"/>
        </w:trPr>
        <w:tc>
          <w:tcPr>
            <w:tcW w:w="640" w:type="dxa"/>
            <w:vAlign w:val="center"/>
          </w:tcPr>
          <w:p w:rsidR="007E3845" w:rsidRPr="0062342E" w:rsidRDefault="007E3845" w:rsidP="00467397">
            <w:pPr>
              <w:pStyle w:val="NoSpacing"/>
              <w:rPr>
                <w:lang w:val="en-US"/>
              </w:rPr>
            </w:pPr>
            <w:r w:rsidRPr="0062342E">
              <w:rPr>
                <w:lang w:val="en-US"/>
              </w:rPr>
              <w:t>8</w:t>
            </w:r>
          </w:p>
        </w:tc>
        <w:tc>
          <w:tcPr>
            <w:tcW w:w="919" w:type="dxa"/>
            <w:vAlign w:val="center"/>
          </w:tcPr>
          <w:p w:rsidR="007E3845" w:rsidRPr="0062342E" w:rsidRDefault="007E3845" w:rsidP="00467397">
            <w:pPr>
              <w:pStyle w:val="NoSpacing"/>
            </w:pPr>
            <w:r w:rsidRPr="0062342E">
              <w:t>TLKM</w:t>
            </w:r>
          </w:p>
        </w:tc>
        <w:tc>
          <w:tcPr>
            <w:tcW w:w="3751" w:type="dxa"/>
            <w:vAlign w:val="center"/>
          </w:tcPr>
          <w:p w:rsidR="007E3845" w:rsidRPr="0062342E" w:rsidRDefault="007E3845" w:rsidP="00467397">
            <w:pPr>
              <w:pStyle w:val="NoSpacing"/>
            </w:pPr>
            <w:r w:rsidRPr="0062342E">
              <w:t>Telekomunikasi Indonesia tbk</w:t>
            </w:r>
          </w:p>
        </w:tc>
        <w:tc>
          <w:tcPr>
            <w:tcW w:w="1327" w:type="dxa"/>
            <w:vAlign w:val="bottom"/>
          </w:tcPr>
          <w:p w:rsidR="007E3845" w:rsidRPr="0062342E" w:rsidRDefault="007E3845" w:rsidP="00467397">
            <w:pPr>
              <w:pStyle w:val="NoSpacing"/>
              <w:spacing w:line="276" w:lineRule="auto"/>
            </w:pPr>
            <w:r w:rsidRPr="0062342E">
              <w:t>0.000538</w:t>
            </w:r>
          </w:p>
        </w:tc>
      </w:tr>
      <w:tr w:rsidR="007E3845" w:rsidRPr="0062342E" w:rsidTr="00467397">
        <w:trPr>
          <w:jc w:val="center"/>
        </w:trPr>
        <w:tc>
          <w:tcPr>
            <w:tcW w:w="640" w:type="dxa"/>
            <w:vAlign w:val="center"/>
          </w:tcPr>
          <w:p w:rsidR="007E3845" w:rsidRPr="0062342E" w:rsidRDefault="007E3845" w:rsidP="00467397">
            <w:pPr>
              <w:pStyle w:val="NoSpacing"/>
              <w:rPr>
                <w:lang w:val="en-US"/>
              </w:rPr>
            </w:pPr>
            <w:r w:rsidRPr="0062342E">
              <w:rPr>
                <w:lang w:val="en-US"/>
              </w:rPr>
              <w:t>9</w:t>
            </w:r>
          </w:p>
        </w:tc>
        <w:tc>
          <w:tcPr>
            <w:tcW w:w="919" w:type="dxa"/>
            <w:vAlign w:val="center"/>
          </w:tcPr>
          <w:p w:rsidR="007E3845" w:rsidRPr="0062342E" w:rsidRDefault="007E3845" w:rsidP="00467397">
            <w:pPr>
              <w:pStyle w:val="NoSpacing"/>
            </w:pPr>
            <w:r w:rsidRPr="0062342E">
              <w:t>UNVR</w:t>
            </w:r>
          </w:p>
        </w:tc>
        <w:tc>
          <w:tcPr>
            <w:tcW w:w="3751" w:type="dxa"/>
            <w:vAlign w:val="center"/>
          </w:tcPr>
          <w:p w:rsidR="007E3845" w:rsidRPr="0062342E" w:rsidRDefault="007E3845" w:rsidP="00467397">
            <w:pPr>
              <w:pStyle w:val="NoSpacing"/>
            </w:pPr>
            <w:r w:rsidRPr="0062342E">
              <w:t>Unilever Indonesia tbk</w:t>
            </w:r>
          </w:p>
        </w:tc>
        <w:tc>
          <w:tcPr>
            <w:tcW w:w="1327" w:type="dxa"/>
            <w:vAlign w:val="bottom"/>
          </w:tcPr>
          <w:p w:rsidR="007E3845" w:rsidRPr="0062342E" w:rsidRDefault="007E3845" w:rsidP="00467397">
            <w:pPr>
              <w:pStyle w:val="NoSpacing"/>
              <w:spacing w:line="276" w:lineRule="auto"/>
            </w:pPr>
            <w:r w:rsidRPr="0062342E">
              <w:t>0.001026</w:t>
            </w:r>
          </w:p>
        </w:tc>
      </w:tr>
    </w:tbl>
    <w:p w:rsidR="007E3845" w:rsidRPr="007E3845" w:rsidRDefault="007E3845" w:rsidP="00321244">
      <w:pPr>
        <w:spacing w:after="240" w:line="360" w:lineRule="auto"/>
        <w:jc w:val="both"/>
        <w:rPr>
          <w:rFonts w:asciiTheme="majorBidi" w:hAnsiTheme="majorBidi" w:cstheme="majorBidi"/>
          <w:b/>
          <w:bCs/>
          <w:lang w:val="en-US"/>
        </w:rPr>
      </w:pPr>
    </w:p>
    <w:p w:rsidR="007E3845" w:rsidRDefault="0073709D" w:rsidP="00321244">
      <w:pPr>
        <w:pStyle w:val="BodyTextIndent"/>
        <w:tabs>
          <w:tab w:val="left" w:pos="720"/>
        </w:tabs>
        <w:spacing w:line="360" w:lineRule="auto"/>
        <w:ind w:left="0" w:firstLine="0"/>
        <w:rPr>
          <w:rFonts w:asciiTheme="majorBidi" w:hAnsiTheme="majorBidi" w:cstheme="majorBidi"/>
          <w:bCs/>
        </w:rPr>
      </w:pPr>
      <w:r>
        <w:rPr>
          <w:rFonts w:asciiTheme="majorBidi" w:hAnsiTheme="majorBidi" w:cstheme="majorBidi"/>
          <w:bCs/>
        </w:rPr>
        <w:tab/>
      </w:r>
      <w:proofErr w:type="gramStart"/>
      <w:r w:rsidR="007E3845">
        <w:rPr>
          <w:rFonts w:asciiTheme="majorBidi" w:hAnsiTheme="majorBidi" w:cstheme="majorBidi"/>
          <w:bCs/>
        </w:rPr>
        <w:t xml:space="preserve">Selanjutnya data yang terkumpul dianalisis menggunakan bantuan </w:t>
      </w:r>
      <w:r w:rsidR="007E3845">
        <w:rPr>
          <w:rFonts w:asciiTheme="majorBidi" w:hAnsiTheme="majorBidi" w:cstheme="majorBidi"/>
          <w:bCs/>
          <w:i/>
        </w:rPr>
        <w:t xml:space="preserve">software </w:t>
      </w:r>
      <w:r w:rsidR="007E3845">
        <w:rPr>
          <w:rFonts w:asciiTheme="majorBidi" w:hAnsiTheme="majorBidi" w:cstheme="majorBidi"/>
          <w:bCs/>
        </w:rPr>
        <w:t>MS EXCEL dan IBM SPSS.</w:t>
      </w:r>
      <w:proofErr w:type="gramEnd"/>
    </w:p>
    <w:p w:rsidR="00DA1A1B" w:rsidRDefault="00DA1A1B" w:rsidP="00321244">
      <w:pPr>
        <w:pStyle w:val="NoSpacing"/>
        <w:spacing w:line="360" w:lineRule="auto"/>
        <w:ind w:firstLine="720"/>
        <w:jc w:val="both"/>
        <w:rPr>
          <w:rFonts w:ascii="Times New Roman" w:hAnsi="Times New Roman"/>
          <w:sz w:val="24"/>
          <w:szCs w:val="24"/>
          <w:lang w:val="en-US"/>
        </w:rPr>
      </w:pPr>
    </w:p>
    <w:p w:rsidR="00321244" w:rsidRPr="00DA1A1B" w:rsidRDefault="00321244" w:rsidP="00321244">
      <w:pPr>
        <w:pStyle w:val="NoSpacing"/>
        <w:spacing w:line="360" w:lineRule="auto"/>
        <w:ind w:firstLine="720"/>
        <w:jc w:val="both"/>
        <w:rPr>
          <w:rFonts w:ascii="Times New Roman" w:hAnsi="Times New Roman"/>
          <w:sz w:val="24"/>
          <w:szCs w:val="24"/>
          <w:lang w:val="en-US"/>
        </w:rPr>
      </w:pPr>
    </w:p>
    <w:p w:rsidR="00DA29A0" w:rsidRPr="006F6DEE" w:rsidRDefault="00DA29A0" w:rsidP="00321244">
      <w:pPr>
        <w:pStyle w:val="NoSpacing"/>
        <w:spacing w:line="360" w:lineRule="auto"/>
        <w:jc w:val="both"/>
        <w:rPr>
          <w:rFonts w:ascii="Times New Roman" w:hAnsi="Times New Roman"/>
          <w:b/>
          <w:sz w:val="24"/>
          <w:szCs w:val="24"/>
        </w:rPr>
      </w:pPr>
      <w:r>
        <w:rPr>
          <w:rFonts w:ascii="Times New Roman" w:hAnsi="Times New Roman"/>
          <w:b/>
          <w:sz w:val="24"/>
          <w:szCs w:val="24"/>
          <w:lang w:val="en-US"/>
        </w:rPr>
        <w:t>4</w:t>
      </w:r>
      <w:r>
        <w:rPr>
          <w:rFonts w:ascii="Times New Roman" w:hAnsi="Times New Roman"/>
          <w:b/>
          <w:sz w:val="24"/>
          <w:szCs w:val="24"/>
        </w:rPr>
        <w:t xml:space="preserve">. </w:t>
      </w:r>
      <w:r>
        <w:rPr>
          <w:rFonts w:ascii="Times New Roman" w:hAnsi="Times New Roman"/>
          <w:b/>
          <w:sz w:val="24"/>
          <w:szCs w:val="24"/>
          <w:lang w:val="en-US"/>
        </w:rPr>
        <w:t>HASIL DAN PEMBAHASAN</w:t>
      </w:r>
      <w:r w:rsidRPr="006F6DEE">
        <w:rPr>
          <w:rFonts w:ascii="Times New Roman" w:hAnsi="Times New Roman"/>
          <w:b/>
          <w:sz w:val="24"/>
          <w:szCs w:val="24"/>
        </w:rPr>
        <w:tab/>
      </w:r>
    </w:p>
    <w:p w:rsidR="00DA29A0" w:rsidRPr="00DA29A0" w:rsidRDefault="00DA29A0" w:rsidP="00DA29A0">
      <w:pPr>
        <w:pStyle w:val="NoSpacing"/>
        <w:spacing w:line="480" w:lineRule="auto"/>
        <w:jc w:val="both"/>
        <w:rPr>
          <w:rFonts w:ascii="Times New Roman" w:hAnsi="Times New Roman"/>
          <w:b/>
          <w:sz w:val="24"/>
          <w:szCs w:val="24"/>
          <w:lang w:val="en-US"/>
        </w:rPr>
      </w:pPr>
      <w:r>
        <w:rPr>
          <w:rFonts w:ascii="Times New Roman" w:hAnsi="Times New Roman"/>
          <w:b/>
          <w:sz w:val="24"/>
          <w:szCs w:val="24"/>
          <w:lang w:val="en-US"/>
        </w:rPr>
        <w:t>4</w:t>
      </w:r>
      <w:r w:rsidRPr="006F6DEE">
        <w:rPr>
          <w:rFonts w:ascii="Times New Roman" w:hAnsi="Times New Roman"/>
          <w:b/>
          <w:sz w:val="24"/>
          <w:szCs w:val="24"/>
        </w:rPr>
        <w:t>.</w:t>
      </w:r>
      <w:r>
        <w:rPr>
          <w:rFonts w:ascii="Times New Roman" w:hAnsi="Times New Roman"/>
          <w:b/>
          <w:sz w:val="24"/>
          <w:szCs w:val="24"/>
          <w:lang w:val="en-US"/>
        </w:rPr>
        <w:t>1</w:t>
      </w:r>
      <w:r w:rsidRPr="006F6DEE">
        <w:rPr>
          <w:rFonts w:ascii="Times New Roman" w:hAnsi="Times New Roman"/>
          <w:b/>
          <w:sz w:val="24"/>
          <w:szCs w:val="24"/>
        </w:rPr>
        <w:t xml:space="preserve"> </w:t>
      </w:r>
      <w:r>
        <w:rPr>
          <w:rFonts w:ascii="Times New Roman" w:hAnsi="Times New Roman"/>
          <w:b/>
          <w:sz w:val="24"/>
          <w:szCs w:val="24"/>
          <w:lang w:val="en-US"/>
        </w:rPr>
        <w:t xml:space="preserve">Perhitungan Nilai </w:t>
      </w:r>
      <w:r w:rsidRPr="00DA29A0">
        <w:rPr>
          <w:rFonts w:ascii="Times New Roman" w:hAnsi="Times New Roman"/>
          <w:b/>
          <w:i/>
          <w:sz w:val="24"/>
          <w:szCs w:val="24"/>
          <w:lang w:val="en-US"/>
        </w:rPr>
        <w:t>Return</w:t>
      </w:r>
      <w:r>
        <w:rPr>
          <w:rFonts w:ascii="Times New Roman" w:hAnsi="Times New Roman"/>
          <w:b/>
          <w:sz w:val="24"/>
          <w:szCs w:val="24"/>
          <w:lang w:val="en-US"/>
        </w:rPr>
        <w:t xml:space="preserve"> dan VaR setiap Saham</w:t>
      </w:r>
    </w:p>
    <w:p w:rsidR="00DA29A0" w:rsidRPr="00DA29A0" w:rsidRDefault="00DA29A0" w:rsidP="00DA29A0">
      <w:pPr>
        <w:pStyle w:val="NoSpacing"/>
        <w:spacing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Nilai </w:t>
      </w:r>
      <w:r>
        <w:rPr>
          <w:rFonts w:ascii="Times New Roman" w:hAnsi="Times New Roman"/>
          <w:i/>
          <w:sz w:val="24"/>
          <w:szCs w:val="24"/>
          <w:lang w:val="en-US"/>
        </w:rPr>
        <w:t xml:space="preserve">return </w:t>
      </w:r>
      <w:r>
        <w:rPr>
          <w:rFonts w:ascii="Times New Roman" w:hAnsi="Times New Roman"/>
          <w:sz w:val="24"/>
          <w:szCs w:val="24"/>
          <w:lang w:val="en-US"/>
        </w:rPr>
        <w:t xml:space="preserve">telah disajikan pada tabel 1 di atas. </w:t>
      </w:r>
      <w:proofErr w:type="gramStart"/>
      <w:r>
        <w:rPr>
          <w:rFonts w:ascii="Times New Roman" w:hAnsi="Times New Roman"/>
          <w:sz w:val="24"/>
          <w:szCs w:val="24"/>
          <w:lang w:val="en-US"/>
        </w:rPr>
        <w:t>Untuk menghitung nilai VaR terlebih dahulu dilakukan uji normalitas dan dihitung nilai Z-Score terlebih dahulu.</w:t>
      </w:r>
      <w:proofErr w:type="gramEnd"/>
      <w:r>
        <w:rPr>
          <w:rFonts w:ascii="Times New Roman" w:hAnsi="Times New Roman"/>
          <w:sz w:val="24"/>
          <w:szCs w:val="24"/>
          <w:lang w:val="en-US"/>
        </w:rPr>
        <w:t xml:space="preserve"> </w:t>
      </w:r>
      <w:r w:rsidRPr="000263B6">
        <w:rPr>
          <w:rFonts w:ascii="Times New Roman" w:hAnsi="Times New Roman"/>
          <w:color w:val="000000" w:themeColor="text1"/>
          <w:sz w:val="24"/>
          <w:szCs w:val="24"/>
        </w:rPr>
        <w:t xml:space="preserve">Jika data berdistribusi tidak normal, akibatnya nilai </w:t>
      </w:r>
      <m:oMath>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Z</m:t>
            </m:r>
          </m:e>
          <m:sub>
            <m:r>
              <w:rPr>
                <w:rFonts w:ascii="Cambria Math" w:hAnsi="Cambria Math"/>
                <w:color w:val="000000" w:themeColor="text1"/>
                <w:sz w:val="24"/>
                <w:szCs w:val="24"/>
              </w:rPr>
              <m:t>α</m:t>
            </m:r>
          </m:sub>
        </m:sSub>
      </m:oMath>
      <w:r w:rsidRPr="000263B6">
        <w:rPr>
          <w:rFonts w:ascii="Times New Roman" w:hAnsi="Times New Roman"/>
          <w:color w:val="000000" w:themeColor="text1"/>
          <w:sz w:val="24"/>
          <w:szCs w:val="24"/>
        </w:rPr>
        <w:t xml:space="preserve"> perlu disesuaikan menjadi  </w:t>
      </w:r>
      <m:oMath>
        <m:sSubSup>
          <m:sSubSupPr>
            <m:ctrlPr>
              <w:rPr>
                <w:rFonts w:ascii="Cambria Math" w:hAnsi="Times New Roman"/>
                <w:i/>
                <w:color w:val="000000" w:themeColor="text1"/>
                <w:sz w:val="24"/>
                <w:szCs w:val="24"/>
              </w:rPr>
            </m:ctrlPr>
          </m:sSubSupPr>
          <m:e>
            <m:r>
              <w:rPr>
                <w:rFonts w:ascii="Cambria Math" w:hAnsi="Cambria Math"/>
                <w:color w:val="000000" w:themeColor="text1"/>
                <w:sz w:val="24"/>
                <w:szCs w:val="24"/>
              </w:rPr>
              <m:t>Z</m:t>
            </m:r>
          </m:e>
          <m:sub>
            <m:r>
              <w:rPr>
                <w:rFonts w:ascii="Cambria Math" w:hAnsi="Cambria Math"/>
                <w:color w:val="000000" w:themeColor="text1"/>
                <w:sz w:val="24"/>
                <w:szCs w:val="24"/>
              </w:rPr>
              <m:t>α</m:t>
            </m:r>
          </m:sub>
          <m:sup>
            <m:r>
              <w:rPr>
                <w:rFonts w:ascii="Times New Roman" w:hAnsi="Times New Roman"/>
                <w:color w:val="000000" w:themeColor="text1"/>
                <w:sz w:val="24"/>
                <w:szCs w:val="24"/>
              </w:rPr>
              <m:t>'</m:t>
            </m:r>
          </m:sup>
        </m:sSubSup>
        <m:r>
          <w:rPr>
            <w:rFonts w:ascii="Cambria Math" w:hAnsi="Times New Roman"/>
            <w:color w:val="000000" w:themeColor="text1"/>
            <w:sz w:val="24"/>
            <w:szCs w:val="24"/>
          </w:rPr>
          <m:t xml:space="preserve">  </m:t>
        </m:r>
      </m:oMath>
      <w:r w:rsidRPr="000263B6">
        <w:rPr>
          <w:rFonts w:ascii="Times New Roman" w:hAnsi="Times New Roman"/>
          <w:color w:val="000000" w:themeColor="text1"/>
          <w:sz w:val="24"/>
          <w:szCs w:val="24"/>
        </w:rPr>
        <w:t xml:space="preserve">mengunakan </w:t>
      </w:r>
      <w:r w:rsidRPr="000263B6">
        <w:rPr>
          <w:rFonts w:ascii="Times New Roman" w:hAnsi="Times New Roman"/>
          <w:i/>
          <w:color w:val="000000" w:themeColor="text1"/>
          <w:sz w:val="24"/>
          <w:szCs w:val="24"/>
        </w:rPr>
        <w:t>Cornish Fisher Expansion</w:t>
      </w:r>
      <w:r w:rsidRPr="000263B6">
        <w:rPr>
          <w:rFonts w:ascii="Times New Roman" w:hAnsi="Times New Roman"/>
          <w:color w:val="000000" w:themeColor="text1"/>
          <w:sz w:val="24"/>
          <w:szCs w:val="24"/>
        </w:rPr>
        <w:t>.</w:t>
      </w:r>
    </w:p>
    <w:p w:rsidR="00DA29A0" w:rsidRPr="000263B6" w:rsidRDefault="00DA29A0" w:rsidP="00DA29A0">
      <w:pPr>
        <w:pStyle w:val="NoSpacing"/>
        <w:spacing w:line="360" w:lineRule="auto"/>
        <w:ind w:firstLine="720"/>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                  </w:t>
      </w:r>
      <m:oMath>
        <m:r>
          <w:rPr>
            <w:rFonts w:ascii="Cambria Math" w:hAnsi="Times New Roman"/>
            <w:color w:val="000000" w:themeColor="text1"/>
            <w:sz w:val="24"/>
            <w:szCs w:val="24"/>
          </w:rPr>
          <m:t xml:space="preserve">  </m:t>
        </m:r>
        <m:sSubSup>
          <m:sSubSupPr>
            <m:ctrlPr>
              <w:rPr>
                <w:rFonts w:ascii="Cambria Math" w:hAnsi="Times New Roman"/>
                <w:i/>
                <w:color w:val="000000" w:themeColor="text1"/>
                <w:sz w:val="24"/>
                <w:szCs w:val="24"/>
              </w:rPr>
            </m:ctrlPr>
          </m:sSubSupPr>
          <m:e>
            <m:r>
              <w:rPr>
                <w:rFonts w:ascii="Cambria Math" w:hAnsi="Cambria Math"/>
                <w:color w:val="000000" w:themeColor="text1"/>
                <w:sz w:val="24"/>
                <w:szCs w:val="24"/>
              </w:rPr>
              <m:t>Z</m:t>
            </m:r>
          </m:e>
          <m:sub>
            <m:r>
              <w:rPr>
                <w:rFonts w:ascii="Cambria Math" w:hAnsi="Cambria Math"/>
                <w:color w:val="000000" w:themeColor="text1"/>
                <w:sz w:val="24"/>
                <w:szCs w:val="24"/>
              </w:rPr>
              <m:t>α</m:t>
            </m:r>
          </m:sub>
          <m:sup>
            <m:r>
              <w:rPr>
                <w:rFonts w:ascii="Times New Roman" w:hAnsi="Times New Roman"/>
                <w:color w:val="000000" w:themeColor="text1"/>
                <w:sz w:val="24"/>
                <w:szCs w:val="24"/>
              </w:rPr>
              <m:t>'</m:t>
            </m:r>
          </m:sup>
        </m:sSubSup>
        <m:r>
          <w:rPr>
            <w:rFonts w:ascii="Cambria Math" w:hAnsi="Times New Roman"/>
            <w:color w:val="000000" w:themeColor="text1"/>
            <w:sz w:val="24"/>
            <w:szCs w:val="24"/>
          </w:rPr>
          <m:t>=</m:t>
        </m:r>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Z</m:t>
            </m:r>
          </m:e>
          <m:sub>
            <m:r>
              <w:rPr>
                <w:rFonts w:ascii="Cambria Math" w:hAnsi="Cambria Math"/>
                <w:color w:val="000000" w:themeColor="text1"/>
                <w:sz w:val="24"/>
                <w:szCs w:val="24"/>
              </w:rPr>
              <m:t>α</m:t>
            </m:r>
          </m:sub>
        </m:sSub>
        <m:r>
          <w:rPr>
            <w:rFonts w:ascii="Times New Roman" w:hAnsi="Times New Roman"/>
            <w:color w:val="000000" w:themeColor="text1"/>
            <w:sz w:val="24"/>
            <w:szCs w:val="24"/>
          </w:rPr>
          <m:t>-</m:t>
        </m:r>
        <m:f>
          <m:fPr>
            <m:ctrlPr>
              <w:rPr>
                <w:rFonts w:ascii="Cambria Math" w:hAnsi="Times New Roman"/>
                <w:i/>
                <w:color w:val="000000" w:themeColor="text1"/>
                <w:sz w:val="24"/>
                <w:szCs w:val="24"/>
              </w:rPr>
            </m:ctrlPr>
          </m:fPr>
          <m:num>
            <m:r>
              <w:rPr>
                <w:rFonts w:ascii="Cambria Math" w:hAnsi="Times New Roman"/>
                <w:color w:val="000000" w:themeColor="text1"/>
                <w:sz w:val="24"/>
                <w:szCs w:val="24"/>
              </w:rPr>
              <m:t>1</m:t>
            </m:r>
          </m:num>
          <m:den>
            <m:r>
              <w:rPr>
                <w:rFonts w:ascii="Cambria Math" w:hAnsi="Times New Roman"/>
                <w:color w:val="000000" w:themeColor="text1"/>
                <w:sz w:val="24"/>
                <w:szCs w:val="24"/>
              </w:rPr>
              <m:t>6</m:t>
            </m:r>
          </m:den>
        </m:f>
        <m:d>
          <m:dPr>
            <m:ctrlPr>
              <w:rPr>
                <w:rFonts w:ascii="Cambria Math" w:hAnsi="Times New Roman"/>
                <w:i/>
                <w:color w:val="000000" w:themeColor="text1"/>
                <w:sz w:val="24"/>
                <w:szCs w:val="24"/>
              </w:rPr>
            </m:ctrlPr>
          </m:dPr>
          <m:e>
            <m:sSup>
              <m:sSupPr>
                <m:ctrlPr>
                  <w:rPr>
                    <w:rFonts w:ascii="Cambria Math" w:hAnsi="Times New Roman"/>
                    <w:i/>
                    <w:color w:val="000000" w:themeColor="text1"/>
                    <w:sz w:val="24"/>
                    <w:szCs w:val="24"/>
                  </w:rPr>
                </m:ctrlPr>
              </m:sSupPr>
              <m:e>
                <m:d>
                  <m:dPr>
                    <m:ctrlPr>
                      <w:rPr>
                        <w:rFonts w:ascii="Cambria Math" w:hAnsi="Times New Roman"/>
                        <w:i/>
                        <w:color w:val="000000" w:themeColor="text1"/>
                        <w:sz w:val="24"/>
                        <w:szCs w:val="24"/>
                      </w:rPr>
                    </m:ctrlPr>
                  </m:dPr>
                  <m:e>
                    <m:sSub>
                      <m:sSubPr>
                        <m:ctrlPr>
                          <w:rPr>
                            <w:rFonts w:ascii="Cambria Math" w:hAnsi="Times New Roman"/>
                            <w:i/>
                            <w:color w:val="000000" w:themeColor="text1"/>
                            <w:sz w:val="24"/>
                            <w:szCs w:val="24"/>
                          </w:rPr>
                        </m:ctrlPr>
                      </m:sSubPr>
                      <m:e>
                        <m:r>
                          <w:rPr>
                            <w:rFonts w:ascii="Cambria Math" w:hAnsi="Cambria Math"/>
                            <w:color w:val="000000" w:themeColor="text1"/>
                            <w:sz w:val="24"/>
                            <w:szCs w:val="24"/>
                          </w:rPr>
                          <m:t>Z</m:t>
                        </m:r>
                      </m:e>
                      <m:sub>
                        <m:r>
                          <w:rPr>
                            <w:rFonts w:ascii="Cambria Math" w:hAnsi="Cambria Math"/>
                            <w:color w:val="000000" w:themeColor="text1"/>
                            <w:sz w:val="24"/>
                            <w:szCs w:val="24"/>
                          </w:rPr>
                          <m:t>α</m:t>
                        </m:r>
                      </m:sub>
                    </m:sSub>
                  </m:e>
                </m:d>
              </m:e>
              <m:sup>
                <m:r>
                  <w:rPr>
                    <w:rFonts w:ascii="Cambria Math" w:hAnsi="Times New Roman"/>
                    <w:color w:val="000000" w:themeColor="text1"/>
                    <w:sz w:val="24"/>
                    <w:szCs w:val="24"/>
                  </w:rPr>
                  <m:t>2</m:t>
                </m:r>
              </m:sup>
            </m:sSup>
            <m:r>
              <w:rPr>
                <w:rFonts w:ascii="Times New Roman" w:hAnsi="Times New Roman"/>
                <w:color w:val="000000" w:themeColor="text1"/>
                <w:sz w:val="24"/>
                <w:szCs w:val="24"/>
              </w:rPr>
              <m:t>-</m:t>
            </m:r>
            <m:r>
              <w:rPr>
                <w:rFonts w:ascii="Cambria Math" w:hAnsi="Times New Roman"/>
                <w:color w:val="000000" w:themeColor="text1"/>
                <w:sz w:val="24"/>
                <w:szCs w:val="24"/>
              </w:rPr>
              <m:t>1</m:t>
            </m:r>
          </m:e>
        </m:d>
        <m:r>
          <w:rPr>
            <w:rFonts w:ascii="Cambria Math" w:hAnsi="Cambria Math"/>
            <w:color w:val="000000" w:themeColor="text1"/>
            <w:sz w:val="24"/>
            <w:szCs w:val="24"/>
          </w:rPr>
          <m:t>ξ</m:t>
        </m:r>
      </m:oMath>
      <w:r>
        <w:rPr>
          <w:rFonts w:ascii="Times New Roman" w:hAnsi="Times New Roman"/>
          <w:color w:val="000000" w:themeColor="text1"/>
          <w:sz w:val="24"/>
          <w:szCs w:val="24"/>
        </w:rPr>
        <w:t xml:space="preserve">        </w:t>
      </w:r>
      <w:r>
        <w:rPr>
          <w:rFonts w:ascii="Times New Roman" w:hAnsi="Times New Roman"/>
          <w:color w:val="000000" w:themeColor="text1"/>
          <w:sz w:val="24"/>
          <w:szCs w:val="24"/>
        </w:rPr>
        <w:tab/>
      </w:r>
      <w:r w:rsidRPr="000263B6">
        <w:rPr>
          <w:rFonts w:ascii="Times New Roman" w:hAnsi="Times New Roman"/>
          <w:color w:val="000000" w:themeColor="text1"/>
          <w:sz w:val="24"/>
          <w:szCs w:val="24"/>
        </w:rPr>
        <w:tab/>
      </w:r>
      <w:r w:rsidRPr="000263B6">
        <w:rPr>
          <w:rFonts w:ascii="Times New Roman" w:hAnsi="Times New Roman"/>
          <w:color w:val="000000" w:themeColor="text1"/>
          <w:sz w:val="24"/>
          <w:szCs w:val="24"/>
        </w:rPr>
        <w:tab/>
        <w:t xml:space="preserve">            </w:t>
      </w:r>
      <w:r>
        <w:rPr>
          <w:rFonts w:ascii="Times New Roman" w:hAnsi="Times New Roman"/>
          <w:color w:val="000000" w:themeColor="text1"/>
          <w:sz w:val="24"/>
          <w:szCs w:val="24"/>
          <w:lang w:val="en-US"/>
        </w:rPr>
        <w:t xml:space="preserve"> (10)</w:t>
      </w:r>
    </w:p>
    <w:tbl>
      <w:tblPr>
        <w:tblW w:w="0" w:type="auto"/>
        <w:tblInd w:w="817" w:type="dxa"/>
        <w:tblLayout w:type="fixed"/>
        <w:tblLook w:val="04A0"/>
      </w:tblPr>
      <w:tblGrid>
        <w:gridCol w:w="990"/>
        <w:gridCol w:w="569"/>
        <w:gridCol w:w="5652"/>
      </w:tblGrid>
      <w:tr w:rsidR="00DA29A0" w:rsidRPr="000263B6" w:rsidTr="00467397">
        <w:tc>
          <w:tcPr>
            <w:tcW w:w="990" w:type="dxa"/>
          </w:tcPr>
          <w:p w:rsidR="00DA29A0" w:rsidRPr="000263B6" w:rsidRDefault="00DA29A0" w:rsidP="00DA29A0">
            <w:pPr>
              <w:pStyle w:val="NoSpacing"/>
              <w:spacing w:line="360" w:lineRule="auto"/>
              <w:jc w:val="both"/>
              <w:rPr>
                <w:rFonts w:ascii="Times New Roman" w:hAnsi="Times New Roman"/>
                <w:color w:val="000000" w:themeColor="text1"/>
                <w:sz w:val="24"/>
                <w:szCs w:val="24"/>
              </w:rPr>
            </w:pPr>
            <w:r w:rsidRPr="000263B6">
              <w:rPr>
                <w:rFonts w:ascii="Times New Roman" w:hAnsi="Times New Roman"/>
                <w:color w:val="000000" w:themeColor="text1"/>
                <w:sz w:val="24"/>
                <w:szCs w:val="24"/>
              </w:rPr>
              <w:t>dimana:</w:t>
            </w:r>
          </w:p>
        </w:tc>
        <w:tc>
          <w:tcPr>
            <w:tcW w:w="569" w:type="dxa"/>
          </w:tcPr>
          <w:p w:rsidR="00DA29A0" w:rsidRPr="000263B6" w:rsidRDefault="00DA29A0" w:rsidP="00DA29A0">
            <w:pPr>
              <w:pStyle w:val="NoSpacing"/>
              <w:spacing w:line="360" w:lineRule="auto"/>
              <w:jc w:val="both"/>
              <w:rPr>
                <w:rFonts w:ascii="Times New Roman" w:hAnsi="Times New Roman"/>
                <w:i/>
                <w:color w:val="000000" w:themeColor="text1"/>
                <w:sz w:val="24"/>
                <w:szCs w:val="24"/>
              </w:rPr>
            </w:pPr>
            <m:oMathPara>
              <m:oMath>
                <m:r>
                  <w:rPr>
                    <w:rFonts w:ascii="Cambria Math" w:hAnsi="Cambria Math"/>
                    <w:color w:val="000000" w:themeColor="text1"/>
                    <w:sz w:val="24"/>
                    <w:szCs w:val="24"/>
                  </w:rPr>
                  <m:t>ξ</m:t>
                </m:r>
              </m:oMath>
            </m:oMathPara>
          </w:p>
        </w:tc>
        <w:tc>
          <w:tcPr>
            <w:tcW w:w="5652" w:type="dxa"/>
          </w:tcPr>
          <w:p w:rsidR="00DA29A0" w:rsidRPr="000263B6" w:rsidRDefault="00DA29A0" w:rsidP="00DA29A0">
            <w:pPr>
              <w:pStyle w:val="NoSpacing"/>
              <w:spacing w:line="360" w:lineRule="auto"/>
              <w:jc w:val="both"/>
              <w:rPr>
                <w:rFonts w:ascii="Times New Roman" w:hAnsi="Times New Roman"/>
                <w:color w:val="000000" w:themeColor="text1"/>
                <w:sz w:val="24"/>
                <w:szCs w:val="24"/>
              </w:rPr>
            </w:pPr>
            <w:r w:rsidRPr="000263B6">
              <w:rPr>
                <w:rFonts w:ascii="Times New Roman" w:hAnsi="Times New Roman"/>
                <w:color w:val="000000" w:themeColor="text1"/>
                <w:sz w:val="24"/>
                <w:szCs w:val="24"/>
              </w:rPr>
              <w:t xml:space="preserve">: adalah koefisien </w:t>
            </w:r>
            <w:r w:rsidRPr="000263B6">
              <w:rPr>
                <w:rFonts w:ascii="Times New Roman" w:hAnsi="Times New Roman"/>
                <w:i/>
                <w:color w:val="000000" w:themeColor="text1"/>
                <w:sz w:val="24"/>
                <w:szCs w:val="24"/>
              </w:rPr>
              <w:t>skewness</w:t>
            </w:r>
          </w:p>
        </w:tc>
      </w:tr>
    </w:tbl>
    <w:p w:rsidR="00DA29A0" w:rsidRDefault="00DA29A0" w:rsidP="00DA29A0">
      <w:pPr>
        <w:pStyle w:val="NoSpacing"/>
        <w:spacing w:line="360" w:lineRule="auto"/>
        <w:jc w:val="both"/>
        <w:rPr>
          <w:rFonts w:ascii="Times New Roman" w:hAnsi="Times New Roman"/>
          <w:sz w:val="24"/>
          <w:szCs w:val="24"/>
          <w:lang w:val="en-US"/>
        </w:rPr>
      </w:pPr>
    </w:p>
    <w:p w:rsidR="00DA29A0" w:rsidRDefault="00DA29A0" w:rsidP="00DA29A0">
      <w:pPr>
        <w:pStyle w:val="NoSpacing"/>
        <w:spacing w:line="360" w:lineRule="auto"/>
        <w:ind w:firstLine="720"/>
        <w:jc w:val="both"/>
        <w:rPr>
          <w:rFonts w:ascii="Times New Roman" w:hAnsi="Times New Roman"/>
          <w:sz w:val="24"/>
          <w:szCs w:val="24"/>
          <w:lang w:val="en-US"/>
        </w:rPr>
      </w:pPr>
      <w:r>
        <w:rPr>
          <w:rFonts w:ascii="Times New Roman" w:hAnsi="Times New Roman"/>
          <w:sz w:val="24"/>
          <w:szCs w:val="24"/>
          <w:lang w:val="en-US"/>
        </w:rPr>
        <w:t>Sehingga diperoleh nilai VaR pada tingkat kepercayaan 95%</w:t>
      </w:r>
      <w:r w:rsidR="00467397">
        <w:rPr>
          <w:rFonts w:ascii="Times New Roman" w:hAnsi="Times New Roman"/>
          <w:sz w:val="24"/>
          <w:szCs w:val="24"/>
          <w:lang w:val="en-US"/>
        </w:rPr>
        <w:t xml:space="preserve"> dengan </w:t>
      </w:r>
      <w:r w:rsidR="00467397" w:rsidRPr="008B2162">
        <w:rPr>
          <w:rFonts w:ascii="Times New Roman" w:hAnsi="Times New Roman"/>
          <w:color w:val="000000" w:themeColor="text1"/>
          <w:sz w:val="24"/>
          <w:szCs w:val="24"/>
        </w:rPr>
        <w:t>mengasumsikan nilai Po = 1 satuan dan t = 1 satuan</w:t>
      </w:r>
      <w:r>
        <w:rPr>
          <w:rFonts w:ascii="Times New Roman" w:hAnsi="Times New Roman"/>
          <w:sz w:val="24"/>
          <w:szCs w:val="24"/>
          <w:lang w:val="en-US"/>
        </w:rPr>
        <w:t>. Berikut hasilnya:</w:t>
      </w:r>
    </w:p>
    <w:p w:rsidR="00467397" w:rsidRDefault="00467397" w:rsidP="00321244">
      <w:pPr>
        <w:pStyle w:val="NoSpacing"/>
        <w:rPr>
          <w:rFonts w:ascii="Times New Roman" w:hAnsi="Times New Roman"/>
          <w:color w:val="000000" w:themeColor="text1"/>
          <w:sz w:val="24"/>
          <w:szCs w:val="24"/>
          <w:lang w:val="en-US"/>
        </w:rPr>
      </w:pPr>
    </w:p>
    <w:p w:rsidR="00321244" w:rsidRDefault="00321244" w:rsidP="00321244">
      <w:pPr>
        <w:pStyle w:val="NoSpacing"/>
        <w:rPr>
          <w:rFonts w:ascii="Times New Roman" w:hAnsi="Times New Roman"/>
          <w:color w:val="000000" w:themeColor="text1"/>
          <w:sz w:val="24"/>
          <w:szCs w:val="24"/>
          <w:lang w:val="en-US"/>
        </w:rPr>
      </w:pPr>
    </w:p>
    <w:p w:rsidR="00467397" w:rsidRDefault="00467397" w:rsidP="00467397">
      <w:pPr>
        <w:pStyle w:val="NoSpacing"/>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Tabel 2 Hasil Uji Normalitas, Z-score, Return dan VaR-95% setiap Saham</w:t>
      </w:r>
    </w:p>
    <w:p w:rsidR="00467397" w:rsidRPr="00B72321" w:rsidRDefault="00467397" w:rsidP="00467397">
      <w:pPr>
        <w:pStyle w:val="NoSpacing"/>
        <w:jc w:val="center"/>
        <w:rPr>
          <w:rFonts w:ascii="Times New Roman" w:hAnsi="Times New Roman"/>
          <w:color w:val="000000" w:themeColor="text1"/>
          <w:sz w:val="24"/>
          <w:szCs w:val="24"/>
          <w:lang w:val="en-US"/>
        </w:rPr>
      </w:pPr>
    </w:p>
    <w:tbl>
      <w:tblPr>
        <w:tblStyle w:val="TableGrid"/>
        <w:tblW w:w="0" w:type="auto"/>
        <w:jc w:val="center"/>
        <w:tblLook w:val="04A0"/>
      </w:tblPr>
      <w:tblGrid>
        <w:gridCol w:w="572"/>
        <w:gridCol w:w="866"/>
        <w:gridCol w:w="1726"/>
        <w:gridCol w:w="1186"/>
        <w:gridCol w:w="1186"/>
        <w:gridCol w:w="1186"/>
      </w:tblGrid>
      <w:tr w:rsidR="00467397" w:rsidRPr="00675BA0" w:rsidTr="00467397">
        <w:trPr>
          <w:trHeight w:val="592"/>
          <w:jc w:val="center"/>
        </w:trPr>
        <w:tc>
          <w:tcPr>
            <w:tcW w:w="572" w:type="dxa"/>
            <w:shd w:val="clear" w:color="auto" w:fill="BFBFBF" w:themeFill="background1" w:themeFillShade="BF"/>
            <w:vAlign w:val="center"/>
          </w:tcPr>
          <w:p w:rsidR="00467397" w:rsidRPr="00675BA0" w:rsidRDefault="00467397" w:rsidP="00467397">
            <w:pPr>
              <w:pStyle w:val="NoSpacing"/>
              <w:spacing w:line="276" w:lineRule="auto"/>
              <w:rPr>
                <w:b/>
              </w:rPr>
            </w:pPr>
            <w:r w:rsidRPr="00675BA0">
              <w:rPr>
                <w:b/>
              </w:rPr>
              <w:t>No.</w:t>
            </w:r>
          </w:p>
        </w:tc>
        <w:tc>
          <w:tcPr>
            <w:tcW w:w="866" w:type="dxa"/>
            <w:shd w:val="clear" w:color="auto" w:fill="BFBFBF" w:themeFill="background1" w:themeFillShade="BF"/>
            <w:vAlign w:val="center"/>
          </w:tcPr>
          <w:p w:rsidR="00467397" w:rsidRPr="00675BA0" w:rsidRDefault="00467397" w:rsidP="00467397">
            <w:pPr>
              <w:pStyle w:val="NoSpacing"/>
              <w:spacing w:line="276" w:lineRule="auto"/>
              <w:rPr>
                <w:b/>
              </w:rPr>
            </w:pPr>
            <w:r w:rsidRPr="00675BA0">
              <w:rPr>
                <w:b/>
              </w:rPr>
              <w:t>Kode</w:t>
            </w:r>
          </w:p>
        </w:tc>
        <w:tc>
          <w:tcPr>
            <w:tcW w:w="1726" w:type="dxa"/>
            <w:shd w:val="clear" w:color="auto" w:fill="BFBFBF" w:themeFill="background1" w:themeFillShade="BF"/>
            <w:vAlign w:val="center"/>
          </w:tcPr>
          <w:p w:rsidR="00467397" w:rsidRPr="00675BA0" w:rsidRDefault="00467397" w:rsidP="00467397">
            <w:pPr>
              <w:pStyle w:val="NoSpacing"/>
              <w:spacing w:line="276" w:lineRule="auto"/>
              <w:jc w:val="center"/>
              <w:rPr>
                <w:b/>
                <w:lang w:val="en-US"/>
              </w:rPr>
            </w:pPr>
            <w:r>
              <w:rPr>
                <w:b/>
                <w:lang w:val="en-US"/>
              </w:rPr>
              <w:t>Uji Normalitas</w:t>
            </w:r>
          </w:p>
        </w:tc>
        <w:tc>
          <w:tcPr>
            <w:tcW w:w="1186" w:type="dxa"/>
            <w:shd w:val="clear" w:color="auto" w:fill="BFBFBF" w:themeFill="background1" w:themeFillShade="BF"/>
            <w:vAlign w:val="center"/>
          </w:tcPr>
          <w:p w:rsidR="00467397" w:rsidRPr="00675BA0" w:rsidRDefault="00467397" w:rsidP="00467397">
            <w:pPr>
              <w:pStyle w:val="NoSpacing"/>
              <w:spacing w:line="276" w:lineRule="auto"/>
              <w:rPr>
                <w:b/>
              </w:rPr>
            </w:pPr>
            <m:oMathPara>
              <m:oMath>
                <m:sSubSup>
                  <m:sSubSupPr>
                    <m:ctrlPr>
                      <w:rPr>
                        <w:rFonts w:ascii="Cambria Math" w:hAnsi="Cambria Math"/>
                        <w:b/>
                        <w:i/>
                      </w:rPr>
                    </m:ctrlPr>
                  </m:sSubSupPr>
                  <m:e>
                    <m:r>
                      <m:rPr>
                        <m:sty m:val="bi"/>
                      </m:rPr>
                      <w:rPr>
                        <w:rFonts w:ascii="Cambria Math" w:hAnsi="Cambria Math"/>
                      </w:rPr>
                      <m:t>Z</m:t>
                    </m:r>
                  </m:e>
                  <m:sub>
                    <m:r>
                      <m:rPr>
                        <m:sty m:val="bi"/>
                      </m:rPr>
                      <w:rPr>
                        <w:rFonts w:ascii="Cambria Math" w:hAnsi="Cambria Math"/>
                      </w:rPr>
                      <m:t>α</m:t>
                    </m:r>
                  </m:sub>
                  <m:sup>
                    <m:r>
                      <m:rPr>
                        <m:sty m:val="bi"/>
                      </m:rPr>
                      <w:rPr>
                        <w:rFonts w:ascii="Cambria Math"/>
                      </w:rPr>
                      <m:t>'</m:t>
                    </m:r>
                  </m:sup>
                </m:sSubSup>
              </m:oMath>
            </m:oMathPara>
          </w:p>
        </w:tc>
        <w:tc>
          <w:tcPr>
            <w:tcW w:w="1186" w:type="dxa"/>
            <w:shd w:val="clear" w:color="auto" w:fill="BFBFBF" w:themeFill="background1" w:themeFillShade="BF"/>
            <w:vAlign w:val="center"/>
          </w:tcPr>
          <w:p w:rsidR="00467397" w:rsidRPr="00467397" w:rsidRDefault="00467397" w:rsidP="00467397">
            <w:pPr>
              <w:pStyle w:val="NoSpacing"/>
              <w:spacing w:line="276" w:lineRule="auto"/>
              <w:rPr>
                <w:b/>
                <w:lang w:val="en-US"/>
              </w:rPr>
            </w:pPr>
            <w:r>
              <w:rPr>
                <w:b/>
                <w:lang w:val="en-US"/>
              </w:rPr>
              <w:t>Return</w:t>
            </w:r>
          </w:p>
        </w:tc>
        <w:tc>
          <w:tcPr>
            <w:tcW w:w="1186" w:type="dxa"/>
            <w:shd w:val="clear" w:color="auto" w:fill="BFBFBF" w:themeFill="background1" w:themeFillShade="BF"/>
            <w:vAlign w:val="center"/>
          </w:tcPr>
          <w:p w:rsidR="00467397" w:rsidRPr="00467397" w:rsidRDefault="00467397" w:rsidP="00467397">
            <w:pPr>
              <w:pStyle w:val="NoSpacing"/>
              <w:spacing w:line="276" w:lineRule="auto"/>
              <w:rPr>
                <w:b/>
                <w:lang w:val="en-US"/>
              </w:rPr>
            </w:pPr>
            <w:r>
              <w:rPr>
                <w:b/>
                <w:lang w:val="en-US"/>
              </w:rPr>
              <w:t>VaR-95%</w:t>
            </w:r>
          </w:p>
        </w:tc>
      </w:tr>
      <w:tr w:rsidR="00467397" w:rsidRPr="0062342E" w:rsidTr="00467397">
        <w:trPr>
          <w:jc w:val="center"/>
        </w:trPr>
        <w:tc>
          <w:tcPr>
            <w:tcW w:w="572" w:type="dxa"/>
            <w:shd w:val="clear" w:color="auto" w:fill="auto"/>
            <w:vAlign w:val="center"/>
          </w:tcPr>
          <w:p w:rsidR="00467397" w:rsidRPr="0062342E" w:rsidRDefault="00467397" w:rsidP="00467397">
            <w:pPr>
              <w:pStyle w:val="NoSpacing"/>
              <w:spacing w:line="276" w:lineRule="auto"/>
              <w:rPr>
                <w:lang w:val="en-US"/>
              </w:rPr>
            </w:pPr>
            <w:r w:rsidRPr="0062342E">
              <w:rPr>
                <w:lang w:val="en-US"/>
              </w:rPr>
              <w:t>0</w:t>
            </w:r>
          </w:p>
        </w:tc>
        <w:tc>
          <w:tcPr>
            <w:tcW w:w="866" w:type="dxa"/>
            <w:shd w:val="clear" w:color="auto" w:fill="auto"/>
            <w:vAlign w:val="center"/>
          </w:tcPr>
          <w:p w:rsidR="00467397" w:rsidRPr="0062342E" w:rsidRDefault="00467397" w:rsidP="00467397">
            <w:pPr>
              <w:pStyle w:val="NoSpacing"/>
              <w:spacing w:line="276" w:lineRule="auto"/>
              <w:rPr>
                <w:lang w:val="en-US"/>
              </w:rPr>
            </w:pPr>
            <w:r w:rsidRPr="0062342E">
              <w:rPr>
                <w:lang w:val="en-US"/>
              </w:rPr>
              <w:t>IHSG</w:t>
            </w:r>
          </w:p>
        </w:tc>
        <w:tc>
          <w:tcPr>
            <w:tcW w:w="1726" w:type="dxa"/>
            <w:vAlign w:val="center"/>
          </w:tcPr>
          <w:p w:rsidR="00467397" w:rsidRPr="0062342E" w:rsidRDefault="00467397" w:rsidP="00467397">
            <w:pPr>
              <w:pStyle w:val="NoSpacing"/>
              <w:spacing w:line="276" w:lineRule="auto"/>
              <w:jc w:val="center"/>
              <w:rPr>
                <w:rFonts w:eastAsiaTheme="minorHAnsi"/>
                <w:lang w:val="en-US"/>
              </w:rPr>
            </w:pPr>
            <w:r>
              <w:rPr>
                <w:rFonts w:eastAsiaTheme="minorHAnsi"/>
                <w:lang w:val="en-US"/>
              </w:rPr>
              <w:t>Tidak Normal</w:t>
            </w:r>
          </w:p>
        </w:tc>
        <w:tc>
          <w:tcPr>
            <w:tcW w:w="1186" w:type="dxa"/>
            <w:vAlign w:val="bottom"/>
          </w:tcPr>
          <w:p w:rsidR="00467397" w:rsidRPr="0062342E" w:rsidRDefault="00467397" w:rsidP="00467397">
            <w:pPr>
              <w:pStyle w:val="NoSpacing"/>
              <w:spacing w:line="276" w:lineRule="auto"/>
            </w:pPr>
            <w:r w:rsidRPr="0062342E">
              <w:t>1.973694</w:t>
            </w:r>
          </w:p>
        </w:tc>
        <w:tc>
          <w:tcPr>
            <w:tcW w:w="1186" w:type="dxa"/>
            <w:vAlign w:val="center"/>
          </w:tcPr>
          <w:p w:rsidR="00467397" w:rsidRPr="0062342E" w:rsidRDefault="00467397" w:rsidP="00467397">
            <w:pPr>
              <w:pStyle w:val="NoSpacing"/>
              <w:spacing w:line="276" w:lineRule="auto"/>
              <w:jc w:val="center"/>
            </w:pPr>
            <w:r w:rsidRPr="0062342E">
              <w:t>0.000423</w:t>
            </w:r>
          </w:p>
        </w:tc>
        <w:tc>
          <w:tcPr>
            <w:tcW w:w="1186" w:type="dxa"/>
            <w:vAlign w:val="bottom"/>
          </w:tcPr>
          <w:p w:rsidR="00467397" w:rsidRPr="0062342E" w:rsidRDefault="00467397" w:rsidP="00467397">
            <w:pPr>
              <w:pStyle w:val="NoSpacing"/>
              <w:spacing w:line="276" w:lineRule="auto"/>
              <w:jc w:val="center"/>
            </w:pPr>
            <w:r w:rsidRPr="0062342E">
              <w:t>0.019879</w:t>
            </w:r>
          </w:p>
        </w:tc>
      </w:tr>
      <w:tr w:rsidR="00467397" w:rsidRPr="0062342E" w:rsidTr="00467397">
        <w:trPr>
          <w:jc w:val="center"/>
        </w:trPr>
        <w:tc>
          <w:tcPr>
            <w:tcW w:w="572" w:type="dxa"/>
            <w:vAlign w:val="center"/>
          </w:tcPr>
          <w:p w:rsidR="00467397" w:rsidRPr="0062342E" w:rsidRDefault="00467397" w:rsidP="00467397">
            <w:pPr>
              <w:pStyle w:val="NoSpacing"/>
              <w:spacing w:line="276" w:lineRule="auto"/>
              <w:rPr>
                <w:lang w:val="en-US"/>
              </w:rPr>
            </w:pPr>
            <w:r w:rsidRPr="0062342E">
              <w:rPr>
                <w:lang w:val="en-US"/>
              </w:rPr>
              <w:t>1</w:t>
            </w:r>
          </w:p>
        </w:tc>
        <w:tc>
          <w:tcPr>
            <w:tcW w:w="866" w:type="dxa"/>
            <w:vAlign w:val="center"/>
          </w:tcPr>
          <w:p w:rsidR="00467397" w:rsidRPr="0062342E" w:rsidRDefault="00467397" w:rsidP="00467397">
            <w:pPr>
              <w:pStyle w:val="NoSpacing"/>
              <w:spacing w:line="276" w:lineRule="auto"/>
            </w:pPr>
            <w:r w:rsidRPr="0062342E">
              <w:t>ASII</w:t>
            </w:r>
          </w:p>
        </w:tc>
        <w:tc>
          <w:tcPr>
            <w:tcW w:w="1726" w:type="dxa"/>
            <w:vAlign w:val="center"/>
          </w:tcPr>
          <w:p w:rsidR="00467397" w:rsidRPr="0062342E" w:rsidRDefault="00467397" w:rsidP="00467397">
            <w:pPr>
              <w:pStyle w:val="NoSpacing"/>
              <w:spacing w:line="276" w:lineRule="auto"/>
              <w:jc w:val="center"/>
              <w:rPr>
                <w:rFonts w:eastAsiaTheme="minorHAnsi"/>
                <w:lang w:val="en-US"/>
              </w:rPr>
            </w:pPr>
            <w:r>
              <w:rPr>
                <w:rFonts w:eastAsiaTheme="minorHAnsi"/>
                <w:lang w:val="en-US"/>
              </w:rPr>
              <w:t>Tidak Normal</w:t>
            </w:r>
          </w:p>
        </w:tc>
        <w:tc>
          <w:tcPr>
            <w:tcW w:w="1186" w:type="dxa"/>
            <w:vAlign w:val="bottom"/>
          </w:tcPr>
          <w:p w:rsidR="00467397" w:rsidRPr="0062342E" w:rsidRDefault="00467397" w:rsidP="00467397">
            <w:pPr>
              <w:pStyle w:val="NoSpacing"/>
              <w:spacing w:line="276" w:lineRule="auto"/>
            </w:pPr>
            <w:r w:rsidRPr="0062342E">
              <w:t>1.706701</w:t>
            </w:r>
          </w:p>
        </w:tc>
        <w:tc>
          <w:tcPr>
            <w:tcW w:w="1186" w:type="dxa"/>
            <w:vAlign w:val="center"/>
          </w:tcPr>
          <w:p w:rsidR="00467397" w:rsidRPr="0062342E" w:rsidRDefault="00467397" w:rsidP="00467397">
            <w:pPr>
              <w:pStyle w:val="NoSpacing"/>
              <w:spacing w:line="276" w:lineRule="auto"/>
              <w:jc w:val="center"/>
            </w:pPr>
            <w:r w:rsidRPr="0062342E">
              <w:t>0.000398</w:t>
            </w:r>
          </w:p>
        </w:tc>
        <w:tc>
          <w:tcPr>
            <w:tcW w:w="1186" w:type="dxa"/>
            <w:vAlign w:val="bottom"/>
          </w:tcPr>
          <w:p w:rsidR="00467397" w:rsidRPr="0062342E" w:rsidRDefault="00467397" w:rsidP="00467397">
            <w:pPr>
              <w:pStyle w:val="NoSpacing"/>
              <w:spacing w:line="276" w:lineRule="auto"/>
              <w:jc w:val="center"/>
            </w:pPr>
            <w:r w:rsidRPr="0062342E">
              <w:t>0.033102</w:t>
            </w:r>
          </w:p>
        </w:tc>
      </w:tr>
      <w:tr w:rsidR="00467397" w:rsidRPr="0062342E" w:rsidTr="00467397">
        <w:trPr>
          <w:jc w:val="center"/>
        </w:trPr>
        <w:tc>
          <w:tcPr>
            <w:tcW w:w="572" w:type="dxa"/>
            <w:vAlign w:val="center"/>
          </w:tcPr>
          <w:p w:rsidR="00467397" w:rsidRPr="0062342E" w:rsidRDefault="00467397" w:rsidP="00467397">
            <w:pPr>
              <w:pStyle w:val="NoSpacing"/>
              <w:spacing w:line="276" w:lineRule="auto"/>
              <w:rPr>
                <w:lang w:val="en-US"/>
              </w:rPr>
            </w:pPr>
            <w:r w:rsidRPr="0062342E">
              <w:rPr>
                <w:lang w:val="en-US"/>
              </w:rPr>
              <w:t>2</w:t>
            </w:r>
          </w:p>
        </w:tc>
        <w:tc>
          <w:tcPr>
            <w:tcW w:w="866" w:type="dxa"/>
            <w:vAlign w:val="center"/>
          </w:tcPr>
          <w:p w:rsidR="00467397" w:rsidRPr="0062342E" w:rsidRDefault="00467397" w:rsidP="00467397">
            <w:pPr>
              <w:pStyle w:val="NoSpacing"/>
              <w:spacing w:line="276" w:lineRule="auto"/>
              <w:rPr>
                <w:lang w:val="en-US"/>
              </w:rPr>
            </w:pPr>
            <w:r w:rsidRPr="0062342E">
              <w:rPr>
                <w:lang w:val="en-US"/>
              </w:rPr>
              <w:t>ASRI</w:t>
            </w:r>
          </w:p>
        </w:tc>
        <w:tc>
          <w:tcPr>
            <w:tcW w:w="1726" w:type="dxa"/>
            <w:vAlign w:val="center"/>
          </w:tcPr>
          <w:p w:rsidR="00467397" w:rsidRPr="0062342E" w:rsidRDefault="00467397" w:rsidP="00467397">
            <w:pPr>
              <w:pStyle w:val="NoSpacing"/>
              <w:spacing w:line="276" w:lineRule="auto"/>
              <w:jc w:val="center"/>
              <w:rPr>
                <w:rFonts w:eastAsiaTheme="minorHAnsi"/>
                <w:lang w:val="en-US"/>
              </w:rPr>
            </w:pPr>
            <w:r>
              <w:rPr>
                <w:rFonts w:eastAsiaTheme="minorHAnsi"/>
                <w:lang w:val="en-US"/>
              </w:rPr>
              <w:t>Tidak Normal</w:t>
            </w:r>
          </w:p>
        </w:tc>
        <w:tc>
          <w:tcPr>
            <w:tcW w:w="1186" w:type="dxa"/>
            <w:vAlign w:val="bottom"/>
          </w:tcPr>
          <w:p w:rsidR="00467397" w:rsidRPr="0062342E" w:rsidRDefault="00467397" w:rsidP="00467397">
            <w:pPr>
              <w:pStyle w:val="NoSpacing"/>
              <w:spacing w:line="276" w:lineRule="auto"/>
            </w:pPr>
            <w:r w:rsidRPr="0062342E">
              <w:t>1.628224</w:t>
            </w:r>
          </w:p>
        </w:tc>
        <w:tc>
          <w:tcPr>
            <w:tcW w:w="1186" w:type="dxa"/>
            <w:vAlign w:val="center"/>
          </w:tcPr>
          <w:p w:rsidR="00467397" w:rsidRPr="0062342E" w:rsidRDefault="00467397" w:rsidP="00467397">
            <w:pPr>
              <w:pStyle w:val="NoSpacing"/>
              <w:spacing w:line="276" w:lineRule="auto"/>
              <w:jc w:val="center"/>
            </w:pPr>
            <w:r w:rsidRPr="0062342E">
              <w:t>0.001419</w:t>
            </w:r>
          </w:p>
        </w:tc>
        <w:tc>
          <w:tcPr>
            <w:tcW w:w="1186" w:type="dxa"/>
            <w:vAlign w:val="bottom"/>
          </w:tcPr>
          <w:p w:rsidR="00467397" w:rsidRPr="0062342E" w:rsidRDefault="00467397" w:rsidP="00467397">
            <w:pPr>
              <w:pStyle w:val="NoSpacing"/>
              <w:spacing w:line="276" w:lineRule="auto"/>
              <w:jc w:val="center"/>
            </w:pPr>
            <w:r w:rsidRPr="0062342E">
              <w:t>0.045355</w:t>
            </w:r>
          </w:p>
        </w:tc>
      </w:tr>
      <w:tr w:rsidR="00467397" w:rsidRPr="0062342E" w:rsidTr="00467397">
        <w:trPr>
          <w:jc w:val="center"/>
        </w:trPr>
        <w:tc>
          <w:tcPr>
            <w:tcW w:w="572" w:type="dxa"/>
            <w:vAlign w:val="center"/>
          </w:tcPr>
          <w:p w:rsidR="00467397" w:rsidRPr="0062342E" w:rsidRDefault="00467397" w:rsidP="00467397">
            <w:pPr>
              <w:pStyle w:val="NoSpacing"/>
              <w:spacing w:line="276" w:lineRule="auto"/>
              <w:rPr>
                <w:lang w:val="en-US"/>
              </w:rPr>
            </w:pPr>
            <w:r w:rsidRPr="0062342E">
              <w:rPr>
                <w:lang w:val="en-US"/>
              </w:rPr>
              <w:t>3</w:t>
            </w:r>
          </w:p>
        </w:tc>
        <w:tc>
          <w:tcPr>
            <w:tcW w:w="866" w:type="dxa"/>
            <w:vAlign w:val="center"/>
          </w:tcPr>
          <w:p w:rsidR="00467397" w:rsidRPr="0062342E" w:rsidRDefault="00467397" w:rsidP="00467397">
            <w:pPr>
              <w:pStyle w:val="NoSpacing"/>
              <w:spacing w:line="276" w:lineRule="auto"/>
              <w:rPr>
                <w:lang w:val="en-US"/>
              </w:rPr>
            </w:pPr>
            <w:r w:rsidRPr="0062342E">
              <w:rPr>
                <w:lang w:val="en-US"/>
              </w:rPr>
              <w:t>CPIN</w:t>
            </w:r>
          </w:p>
        </w:tc>
        <w:tc>
          <w:tcPr>
            <w:tcW w:w="1726" w:type="dxa"/>
            <w:vAlign w:val="center"/>
          </w:tcPr>
          <w:p w:rsidR="00467397" w:rsidRPr="0062342E" w:rsidRDefault="00467397" w:rsidP="00467397">
            <w:pPr>
              <w:pStyle w:val="NoSpacing"/>
              <w:spacing w:line="276" w:lineRule="auto"/>
              <w:jc w:val="center"/>
              <w:rPr>
                <w:rFonts w:eastAsiaTheme="minorHAnsi"/>
                <w:lang w:val="en-US"/>
              </w:rPr>
            </w:pPr>
            <w:r>
              <w:rPr>
                <w:rFonts w:eastAsiaTheme="minorHAnsi"/>
                <w:lang w:val="en-US"/>
              </w:rPr>
              <w:t>Tidak Normal</w:t>
            </w:r>
          </w:p>
        </w:tc>
        <w:tc>
          <w:tcPr>
            <w:tcW w:w="1186" w:type="dxa"/>
            <w:vAlign w:val="bottom"/>
          </w:tcPr>
          <w:p w:rsidR="00467397" w:rsidRPr="0062342E" w:rsidRDefault="00467397" w:rsidP="00467397">
            <w:pPr>
              <w:pStyle w:val="NoSpacing"/>
              <w:spacing w:line="276" w:lineRule="auto"/>
            </w:pPr>
            <w:r w:rsidRPr="0062342E">
              <w:t>1.596094</w:t>
            </w:r>
          </w:p>
        </w:tc>
        <w:tc>
          <w:tcPr>
            <w:tcW w:w="1186" w:type="dxa"/>
            <w:vAlign w:val="center"/>
          </w:tcPr>
          <w:p w:rsidR="00467397" w:rsidRPr="0062342E" w:rsidRDefault="00467397" w:rsidP="00467397">
            <w:pPr>
              <w:pStyle w:val="NoSpacing"/>
              <w:spacing w:line="276" w:lineRule="auto"/>
              <w:jc w:val="center"/>
            </w:pPr>
            <w:r w:rsidRPr="0062342E">
              <w:t>0.001667</w:t>
            </w:r>
          </w:p>
        </w:tc>
        <w:tc>
          <w:tcPr>
            <w:tcW w:w="1186" w:type="dxa"/>
            <w:vAlign w:val="bottom"/>
          </w:tcPr>
          <w:p w:rsidR="00467397" w:rsidRPr="0062342E" w:rsidRDefault="00467397" w:rsidP="00467397">
            <w:pPr>
              <w:pStyle w:val="NoSpacing"/>
              <w:spacing w:line="276" w:lineRule="auto"/>
              <w:jc w:val="center"/>
            </w:pPr>
            <w:r w:rsidRPr="0062342E">
              <w:t>0.045949</w:t>
            </w:r>
          </w:p>
        </w:tc>
      </w:tr>
      <w:tr w:rsidR="00467397" w:rsidRPr="0062342E" w:rsidTr="00467397">
        <w:trPr>
          <w:jc w:val="center"/>
        </w:trPr>
        <w:tc>
          <w:tcPr>
            <w:tcW w:w="572" w:type="dxa"/>
            <w:vAlign w:val="center"/>
          </w:tcPr>
          <w:p w:rsidR="00467397" w:rsidRPr="0062342E" w:rsidRDefault="00467397" w:rsidP="00467397">
            <w:pPr>
              <w:pStyle w:val="NoSpacing"/>
              <w:spacing w:line="276" w:lineRule="auto"/>
              <w:rPr>
                <w:lang w:val="en-US"/>
              </w:rPr>
            </w:pPr>
            <w:r w:rsidRPr="0062342E">
              <w:rPr>
                <w:lang w:val="en-US"/>
              </w:rPr>
              <w:t>4</w:t>
            </w:r>
          </w:p>
        </w:tc>
        <w:tc>
          <w:tcPr>
            <w:tcW w:w="866" w:type="dxa"/>
            <w:vAlign w:val="center"/>
          </w:tcPr>
          <w:p w:rsidR="00467397" w:rsidRPr="0062342E" w:rsidRDefault="00467397" w:rsidP="00467397">
            <w:pPr>
              <w:pStyle w:val="NoSpacing"/>
              <w:spacing w:line="276" w:lineRule="auto"/>
            </w:pPr>
            <w:r w:rsidRPr="0062342E">
              <w:t>INTP</w:t>
            </w:r>
          </w:p>
        </w:tc>
        <w:tc>
          <w:tcPr>
            <w:tcW w:w="1726" w:type="dxa"/>
            <w:vAlign w:val="center"/>
          </w:tcPr>
          <w:p w:rsidR="00467397" w:rsidRPr="0062342E" w:rsidRDefault="00467397" w:rsidP="00467397">
            <w:pPr>
              <w:pStyle w:val="NoSpacing"/>
              <w:spacing w:line="276" w:lineRule="auto"/>
              <w:jc w:val="center"/>
              <w:rPr>
                <w:rFonts w:eastAsiaTheme="minorHAnsi"/>
                <w:lang w:val="en-US"/>
              </w:rPr>
            </w:pPr>
            <w:r>
              <w:rPr>
                <w:rFonts w:eastAsiaTheme="minorHAnsi"/>
                <w:lang w:val="en-US"/>
              </w:rPr>
              <w:t>Tidak Normal</w:t>
            </w:r>
          </w:p>
        </w:tc>
        <w:tc>
          <w:tcPr>
            <w:tcW w:w="1186" w:type="dxa"/>
            <w:vAlign w:val="bottom"/>
          </w:tcPr>
          <w:p w:rsidR="00467397" w:rsidRPr="0062342E" w:rsidRDefault="00467397" w:rsidP="00467397">
            <w:pPr>
              <w:pStyle w:val="NoSpacing"/>
              <w:spacing w:line="276" w:lineRule="auto"/>
            </w:pPr>
            <w:r w:rsidRPr="0062342E">
              <w:t>1.697887</w:t>
            </w:r>
          </w:p>
        </w:tc>
        <w:tc>
          <w:tcPr>
            <w:tcW w:w="1186" w:type="dxa"/>
            <w:vAlign w:val="center"/>
          </w:tcPr>
          <w:p w:rsidR="00467397" w:rsidRPr="0062342E" w:rsidRDefault="00467397" w:rsidP="00467397">
            <w:pPr>
              <w:pStyle w:val="NoSpacing"/>
              <w:spacing w:line="276" w:lineRule="auto"/>
              <w:jc w:val="center"/>
            </w:pPr>
            <w:r w:rsidRPr="0062342E">
              <w:t>0.000664</w:t>
            </w:r>
          </w:p>
        </w:tc>
        <w:tc>
          <w:tcPr>
            <w:tcW w:w="1186" w:type="dxa"/>
            <w:vAlign w:val="bottom"/>
          </w:tcPr>
          <w:p w:rsidR="00467397" w:rsidRPr="0062342E" w:rsidRDefault="00467397" w:rsidP="00467397">
            <w:pPr>
              <w:pStyle w:val="NoSpacing"/>
              <w:spacing w:line="276" w:lineRule="auto"/>
              <w:jc w:val="center"/>
            </w:pPr>
            <w:r w:rsidRPr="0062342E">
              <w:t>0.038466</w:t>
            </w:r>
          </w:p>
        </w:tc>
      </w:tr>
      <w:tr w:rsidR="00467397" w:rsidRPr="0062342E" w:rsidTr="00467397">
        <w:trPr>
          <w:jc w:val="center"/>
        </w:trPr>
        <w:tc>
          <w:tcPr>
            <w:tcW w:w="572" w:type="dxa"/>
            <w:vAlign w:val="center"/>
          </w:tcPr>
          <w:p w:rsidR="00467397" w:rsidRPr="0062342E" w:rsidRDefault="00467397" w:rsidP="00467397">
            <w:pPr>
              <w:pStyle w:val="NoSpacing"/>
              <w:spacing w:line="276" w:lineRule="auto"/>
              <w:rPr>
                <w:lang w:val="en-US"/>
              </w:rPr>
            </w:pPr>
            <w:r w:rsidRPr="0062342E">
              <w:rPr>
                <w:lang w:val="en-US"/>
              </w:rPr>
              <w:t>5</w:t>
            </w:r>
          </w:p>
        </w:tc>
        <w:tc>
          <w:tcPr>
            <w:tcW w:w="866" w:type="dxa"/>
            <w:vAlign w:val="center"/>
          </w:tcPr>
          <w:p w:rsidR="00467397" w:rsidRPr="0062342E" w:rsidRDefault="00467397" w:rsidP="00467397">
            <w:pPr>
              <w:pStyle w:val="NoSpacing"/>
              <w:spacing w:line="276" w:lineRule="auto"/>
            </w:pPr>
            <w:r w:rsidRPr="0062342E">
              <w:t>KLBF</w:t>
            </w:r>
          </w:p>
        </w:tc>
        <w:tc>
          <w:tcPr>
            <w:tcW w:w="1726" w:type="dxa"/>
            <w:vAlign w:val="center"/>
          </w:tcPr>
          <w:p w:rsidR="00467397" w:rsidRPr="0062342E" w:rsidRDefault="00467397" w:rsidP="00467397">
            <w:pPr>
              <w:pStyle w:val="NoSpacing"/>
              <w:spacing w:line="276" w:lineRule="auto"/>
              <w:jc w:val="center"/>
              <w:rPr>
                <w:rFonts w:eastAsiaTheme="minorHAnsi"/>
                <w:lang w:val="en-US"/>
              </w:rPr>
            </w:pPr>
            <w:r>
              <w:rPr>
                <w:rFonts w:eastAsiaTheme="minorHAnsi"/>
                <w:lang w:val="en-US"/>
              </w:rPr>
              <w:t>Tidak Normal</w:t>
            </w:r>
          </w:p>
        </w:tc>
        <w:tc>
          <w:tcPr>
            <w:tcW w:w="1186" w:type="dxa"/>
            <w:vAlign w:val="bottom"/>
          </w:tcPr>
          <w:p w:rsidR="00467397" w:rsidRPr="0062342E" w:rsidRDefault="00467397" w:rsidP="00467397">
            <w:pPr>
              <w:pStyle w:val="NoSpacing"/>
              <w:spacing w:line="276" w:lineRule="auto"/>
            </w:pPr>
            <w:r w:rsidRPr="0062342E">
              <w:t>1.739116</w:t>
            </w:r>
          </w:p>
        </w:tc>
        <w:tc>
          <w:tcPr>
            <w:tcW w:w="1186" w:type="dxa"/>
            <w:vAlign w:val="center"/>
          </w:tcPr>
          <w:p w:rsidR="00467397" w:rsidRPr="0062342E" w:rsidRDefault="00467397" w:rsidP="00467397">
            <w:pPr>
              <w:pStyle w:val="NoSpacing"/>
              <w:spacing w:line="276" w:lineRule="auto"/>
              <w:jc w:val="center"/>
            </w:pPr>
            <w:r w:rsidRPr="0062342E">
              <w:t>0.001219</w:t>
            </w:r>
          </w:p>
        </w:tc>
        <w:tc>
          <w:tcPr>
            <w:tcW w:w="1186" w:type="dxa"/>
            <w:vAlign w:val="bottom"/>
          </w:tcPr>
          <w:p w:rsidR="00467397" w:rsidRPr="0062342E" w:rsidRDefault="00467397" w:rsidP="00467397">
            <w:pPr>
              <w:pStyle w:val="NoSpacing"/>
              <w:spacing w:line="276" w:lineRule="auto"/>
              <w:jc w:val="center"/>
            </w:pPr>
            <w:r w:rsidRPr="0062342E">
              <w:t>0.036501</w:t>
            </w:r>
          </w:p>
        </w:tc>
      </w:tr>
      <w:tr w:rsidR="00467397" w:rsidRPr="0062342E" w:rsidTr="00467397">
        <w:trPr>
          <w:jc w:val="center"/>
        </w:trPr>
        <w:tc>
          <w:tcPr>
            <w:tcW w:w="572" w:type="dxa"/>
            <w:vAlign w:val="center"/>
          </w:tcPr>
          <w:p w:rsidR="00467397" w:rsidRPr="0062342E" w:rsidRDefault="00467397" w:rsidP="00467397">
            <w:pPr>
              <w:pStyle w:val="NoSpacing"/>
              <w:spacing w:line="276" w:lineRule="auto"/>
              <w:rPr>
                <w:lang w:val="en-US"/>
              </w:rPr>
            </w:pPr>
            <w:r w:rsidRPr="0062342E">
              <w:rPr>
                <w:lang w:val="en-US"/>
              </w:rPr>
              <w:t>6</w:t>
            </w:r>
          </w:p>
        </w:tc>
        <w:tc>
          <w:tcPr>
            <w:tcW w:w="866" w:type="dxa"/>
            <w:vAlign w:val="center"/>
          </w:tcPr>
          <w:p w:rsidR="00467397" w:rsidRPr="0062342E" w:rsidRDefault="00467397" w:rsidP="00467397">
            <w:pPr>
              <w:pStyle w:val="NoSpacing"/>
              <w:spacing w:line="276" w:lineRule="auto"/>
              <w:rPr>
                <w:lang w:val="en-US"/>
              </w:rPr>
            </w:pPr>
            <w:r w:rsidRPr="0062342E">
              <w:rPr>
                <w:lang w:val="en-US"/>
              </w:rPr>
              <w:t>LPKR</w:t>
            </w:r>
          </w:p>
        </w:tc>
        <w:tc>
          <w:tcPr>
            <w:tcW w:w="1726" w:type="dxa"/>
            <w:vAlign w:val="center"/>
          </w:tcPr>
          <w:p w:rsidR="00467397" w:rsidRPr="0062342E" w:rsidRDefault="00467397" w:rsidP="00467397">
            <w:pPr>
              <w:pStyle w:val="NoSpacing"/>
              <w:spacing w:line="276" w:lineRule="auto"/>
              <w:jc w:val="center"/>
              <w:rPr>
                <w:rFonts w:eastAsiaTheme="minorHAnsi"/>
                <w:lang w:val="en-US"/>
              </w:rPr>
            </w:pPr>
            <w:r>
              <w:rPr>
                <w:rFonts w:eastAsiaTheme="minorHAnsi"/>
                <w:lang w:val="en-US"/>
              </w:rPr>
              <w:t>Tidak Normal</w:t>
            </w:r>
          </w:p>
        </w:tc>
        <w:tc>
          <w:tcPr>
            <w:tcW w:w="1186" w:type="dxa"/>
            <w:vAlign w:val="bottom"/>
          </w:tcPr>
          <w:p w:rsidR="00467397" w:rsidRPr="0062342E" w:rsidRDefault="00467397" w:rsidP="00467397">
            <w:pPr>
              <w:pStyle w:val="NoSpacing"/>
              <w:spacing w:line="276" w:lineRule="auto"/>
            </w:pPr>
            <w:r w:rsidRPr="0062342E">
              <w:t>1.713241</w:t>
            </w:r>
          </w:p>
        </w:tc>
        <w:tc>
          <w:tcPr>
            <w:tcW w:w="1186" w:type="dxa"/>
            <w:vAlign w:val="center"/>
          </w:tcPr>
          <w:p w:rsidR="00467397" w:rsidRPr="0062342E" w:rsidRDefault="00467397" w:rsidP="00467397">
            <w:pPr>
              <w:pStyle w:val="NoSpacing"/>
              <w:spacing w:line="276" w:lineRule="auto"/>
              <w:jc w:val="center"/>
            </w:pPr>
            <w:r w:rsidRPr="0062342E">
              <w:t>0.001201</w:t>
            </w:r>
          </w:p>
        </w:tc>
        <w:tc>
          <w:tcPr>
            <w:tcW w:w="1186" w:type="dxa"/>
            <w:vAlign w:val="bottom"/>
          </w:tcPr>
          <w:p w:rsidR="00467397" w:rsidRPr="0062342E" w:rsidRDefault="00467397" w:rsidP="00467397">
            <w:pPr>
              <w:pStyle w:val="NoSpacing"/>
              <w:spacing w:line="276" w:lineRule="auto"/>
              <w:jc w:val="center"/>
            </w:pPr>
            <w:r w:rsidRPr="0062342E">
              <w:t>0.036606</w:t>
            </w:r>
          </w:p>
        </w:tc>
      </w:tr>
      <w:tr w:rsidR="00467397" w:rsidRPr="0062342E" w:rsidTr="00467397">
        <w:trPr>
          <w:jc w:val="center"/>
        </w:trPr>
        <w:tc>
          <w:tcPr>
            <w:tcW w:w="572" w:type="dxa"/>
            <w:vAlign w:val="center"/>
          </w:tcPr>
          <w:p w:rsidR="00467397" w:rsidRPr="0062342E" w:rsidRDefault="00467397" w:rsidP="00467397">
            <w:pPr>
              <w:pStyle w:val="NoSpacing"/>
              <w:spacing w:line="276" w:lineRule="auto"/>
              <w:rPr>
                <w:lang w:val="en-US"/>
              </w:rPr>
            </w:pPr>
            <w:r w:rsidRPr="0062342E">
              <w:rPr>
                <w:lang w:val="en-US"/>
              </w:rPr>
              <w:t>7</w:t>
            </w:r>
          </w:p>
        </w:tc>
        <w:tc>
          <w:tcPr>
            <w:tcW w:w="866" w:type="dxa"/>
            <w:vAlign w:val="center"/>
          </w:tcPr>
          <w:p w:rsidR="00467397" w:rsidRPr="0062342E" w:rsidRDefault="00467397" w:rsidP="00467397">
            <w:pPr>
              <w:pStyle w:val="NoSpacing"/>
              <w:spacing w:line="276" w:lineRule="auto"/>
            </w:pPr>
            <w:r w:rsidRPr="0062342E">
              <w:t>SMGR</w:t>
            </w:r>
          </w:p>
        </w:tc>
        <w:tc>
          <w:tcPr>
            <w:tcW w:w="1726" w:type="dxa"/>
            <w:vAlign w:val="center"/>
          </w:tcPr>
          <w:p w:rsidR="00467397" w:rsidRPr="0062342E" w:rsidRDefault="00467397" w:rsidP="00467397">
            <w:pPr>
              <w:pStyle w:val="NoSpacing"/>
              <w:spacing w:line="276" w:lineRule="auto"/>
              <w:jc w:val="center"/>
              <w:rPr>
                <w:rFonts w:eastAsiaTheme="minorHAnsi"/>
                <w:lang w:val="en-US"/>
              </w:rPr>
            </w:pPr>
            <w:r>
              <w:rPr>
                <w:rFonts w:eastAsiaTheme="minorHAnsi"/>
                <w:lang w:val="en-US"/>
              </w:rPr>
              <w:t>Tidak Normal</w:t>
            </w:r>
          </w:p>
        </w:tc>
        <w:tc>
          <w:tcPr>
            <w:tcW w:w="1186" w:type="dxa"/>
            <w:vAlign w:val="bottom"/>
          </w:tcPr>
          <w:p w:rsidR="00467397" w:rsidRPr="0062342E" w:rsidRDefault="00467397" w:rsidP="00467397">
            <w:pPr>
              <w:pStyle w:val="NoSpacing"/>
              <w:spacing w:line="276" w:lineRule="auto"/>
            </w:pPr>
            <w:r w:rsidRPr="0062342E">
              <w:t>1.688504</w:t>
            </w:r>
          </w:p>
        </w:tc>
        <w:tc>
          <w:tcPr>
            <w:tcW w:w="1186" w:type="dxa"/>
            <w:vAlign w:val="center"/>
          </w:tcPr>
          <w:p w:rsidR="00467397" w:rsidRPr="0062342E" w:rsidRDefault="00467397" w:rsidP="00467397">
            <w:pPr>
              <w:pStyle w:val="NoSpacing"/>
              <w:spacing w:line="276" w:lineRule="auto"/>
              <w:jc w:val="center"/>
            </w:pPr>
            <w:r w:rsidRPr="0062342E">
              <w:t>0.000870</w:t>
            </w:r>
          </w:p>
        </w:tc>
        <w:tc>
          <w:tcPr>
            <w:tcW w:w="1186" w:type="dxa"/>
            <w:vAlign w:val="bottom"/>
          </w:tcPr>
          <w:p w:rsidR="00467397" w:rsidRPr="0062342E" w:rsidRDefault="00467397" w:rsidP="00467397">
            <w:pPr>
              <w:pStyle w:val="NoSpacing"/>
              <w:spacing w:line="276" w:lineRule="auto"/>
              <w:jc w:val="center"/>
            </w:pPr>
            <w:r w:rsidRPr="0062342E">
              <w:t>0.034709</w:t>
            </w:r>
          </w:p>
        </w:tc>
      </w:tr>
      <w:tr w:rsidR="00467397" w:rsidRPr="0062342E" w:rsidTr="00467397">
        <w:trPr>
          <w:jc w:val="center"/>
        </w:trPr>
        <w:tc>
          <w:tcPr>
            <w:tcW w:w="572" w:type="dxa"/>
            <w:vAlign w:val="center"/>
          </w:tcPr>
          <w:p w:rsidR="00467397" w:rsidRPr="0062342E" w:rsidRDefault="00467397" w:rsidP="00467397">
            <w:pPr>
              <w:pStyle w:val="NoSpacing"/>
              <w:spacing w:line="276" w:lineRule="auto"/>
              <w:rPr>
                <w:lang w:val="en-US"/>
              </w:rPr>
            </w:pPr>
            <w:r w:rsidRPr="0062342E">
              <w:rPr>
                <w:lang w:val="en-US"/>
              </w:rPr>
              <w:t>8</w:t>
            </w:r>
          </w:p>
        </w:tc>
        <w:tc>
          <w:tcPr>
            <w:tcW w:w="866" w:type="dxa"/>
            <w:vAlign w:val="center"/>
          </w:tcPr>
          <w:p w:rsidR="00467397" w:rsidRPr="0062342E" w:rsidRDefault="00467397" w:rsidP="00467397">
            <w:pPr>
              <w:pStyle w:val="NoSpacing"/>
              <w:spacing w:line="276" w:lineRule="auto"/>
            </w:pPr>
            <w:r w:rsidRPr="0062342E">
              <w:t>TLKM</w:t>
            </w:r>
          </w:p>
        </w:tc>
        <w:tc>
          <w:tcPr>
            <w:tcW w:w="1726" w:type="dxa"/>
            <w:vAlign w:val="center"/>
          </w:tcPr>
          <w:p w:rsidR="00467397" w:rsidRPr="0062342E" w:rsidRDefault="00467397" w:rsidP="00467397">
            <w:pPr>
              <w:pStyle w:val="NoSpacing"/>
              <w:spacing w:line="276" w:lineRule="auto"/>
              <w:jc w:val="center"/>
              <w:rPr>
                <w:rFonts w:eastAsiaTheme="minorHAnsi"/>
                <w:lang w:val="en-US"/>
              </w:rPr>
            </w:pPr>
            <w:r>
              <w:rPr>
                <w:rFonts w:eastAsiaTheme="minorHAnsi"/>
                <w:lang w:val="en-US"/>
              </w:rPr>
              <w:t>Tidak Normal</w:t>
            </w:r>
          </w:p>
        </w:tc>
        <w:tc>
          <w:tcPr>
            <w:tcW w:w="1186" w:type="dxa"/>
            <w:vAlign w:val="bottom"/>
          </w:tcPr>
          <w:p w:rsidR="00467397" w:rsidRPr="0062342E" w:rsidRDefault="00467397" w:rsidP="00467397">
            <w:pPr>
              <w:pStyle w:val="NoSpacing"/>
              <w:spacing w:line="276" w:lineRule="auto"/>
            </w:pPr>
            <w:r w:rsidRPr="0062342E">
              <w:t>1.666041</w:t>
            </w:r>
          </w:p>
        </w:tc>
        <w:tc>
          <w:tcPr>
            <w:tcW w:w="1186" w:type="dxa"/>
            <w:vAlign w:val="center"/>
          </w:tcPr>
          <w:p w:rsidR="00467397" w:rsidRPr="0062342E" w:rsidRDefault="00467397" w:rsidP="00467397">
            <w:pPr>
              <w:pStyle w:val="NoSpacing"/>
              <w:spacing w:line="276" w:lineRule="auto"/>
              <w:jc w:val="center"/>
            </w:pPr>
            <w:r w:rsidRPr="0062342E">
              <w:t>0.000538</w:t>
            </w:r>
          </w:p>
        </w:tc>
        <w:tc>
          <w:tcPr>
            <w:tcW w:w="1186" w:type="dxa"/>
            <w:vAlign w:val="bottom"/>
          </w:tcPr>
          <w:p w:rsidR="00467397" w:rsidRPr="0062342E" w:rsidRDefault="00467397" w:rsidP="00467397">
            <w:pPr>
              <w:pStyle w:val="NoSpacing"/>
              <w:spacing w:line="276" w:lineRule="auto"/>
              <w:jc w:val="center"/>
            </w:pPr>
            <w:r w:rsidRPr="0062342E">
              <w:t>0.030160</w:t>
            </w:r>
          </w:p>
        </w:tc>
      </w:tr>
      <w:tr w:rsidR="00467397" w:rsidRPr="0062342E" w:rsidTr="00467397">
        <w:trPr>
          <w:jc w:val="center"/>
        </w:trPr>
        <w:tc>
          <w:tcPr>
            <w:tcW w:w="572" w:type="dxa"/>
            <w:vAlign w:val="center"/>
          </w:tcPr>
          <w:p w:rsidR="00467397" w:rsidRPr="0062342E" w:rsidRDefault="00467397" w:rsidP="00467397">
            <w:pPr>
              <w:pStyle w:val="NoSpacing"/>
              <w:spacing w:line="276" w:lineRule="auto"/>
              <w:rPr>
                <w:lang w:val="en-US"/>
              </w:rPr>
            </w:pPr>
            <w:r w:rsidRPr="0062342E">
              <w:rPr>
                <w:lang w:val="en-US"/>
              </w:rPr>
              <w:t>9</w:t>
            </w:r>
          </w:p>
        </w:tc>
        <w:tc>
          <w:tcPr>
            <w:tcW w:w="866" w:type="dxa"/>
            <w:vAlign w:val="center"/>
          </w:tcPr>
          <w:p w:rsidR="00467397" w:rsidRPr="0062342E" w:rsidRDefault="00467397" w:rsidP="00467397">
            <w:pPr>
              <w:pStyle w:val="NoSpacing"/>
              <w:spacing w:line="276" w:lineRule="auto"/>
            </w:pPr>
            <w:r w:rsidRPr="0062342E">
              <w:t>UNVR</w:t>
            </w:r>
          </w:p>
        </w:tc>
        <w:tc>
          <w:tcPr>
            <w:tcW w:w="1726" w:type="dxa"/>
            <w:vAlign w:val="center"/>
          </w:tcPr>
          <w:p w:rsidR="00467397" w:rsidRPr="0062342E" w:rsidRDefault="00467397" w:rsidP="00467397">
            <w:pPr>
              <w:pStyle w:val="NoSpacing"/>
              <w:spacing w:line="276" w:lineRule="auto"/>
              <w:jc w:val="center"/>
              <w:rPr>
                <w:rFonts w:eastAsiaTheme="minorHAnsi"/>
                <w:lang w:val="en-US"/>
              </w:rPr>
            </w:pPr>
            <w:r>
              <w:rPr>
                <w:rFonts w:eastAsiaTheme="minorHAnsi"/>
                <w:lang w:val="en-US"/>
              </w:rPr>
              <w:t>Tidak Normal</w:t>
            </w:r>
          </w:p>
        </w:tc>
        <w:tc>
          <w:tcPr>
            <w:tcW w:w="1186" w:type="dxa"/>
            <w:vAlign w:val="bottom"/>
          </w:tcPr>
          <w:p w:rsidR="00467397" w:rsidRPr="0062342E" w:rsidRDefault="00467397" w:rsidP="00467397">
            <w:pPr>
              <w:pStyle w:val="NoSpacing"/>
              <w:spacing w:line="276" w:lineRule="auto"/>
            </w:pPr>
            <w:r w:rsidRPr="0062342E">
              <w:t>1.598937</w:t>
            </w:r>
          </w:p>
        </w:tc>
        <w:tc>
          <w:tcPr>
            <w:tcW w:w="1186" w:type="dxa"/>
            <w:vAlign w:val="center"/>
          </w:tcPr>
          <w:p w:rsidR="00467397" w:rsidRPr="0062342E" w:rsidRDefault="00467397" w:rsidP="00467397">
            <w:pPr>
              <w:pStyle w:val="NoSpacing"/>
              <w:spacing w:line="276" w:lineRule="auto"/>
              <w:jc w:val="center"/>
            </w:pPr>
            <w:r w:rsidRPr="0062342E">
              <w:t>0.001026</w:t>
            </w:r>
          </w:p>
        </w:tc>
        <w:tc>
          <w:tcPr>
            <w:tcW w:w="1186" w:type="dxa"/>
            <w:vAlign w:val="bottom"/>
          </w:tcPr>
          <w:p w:rsidR="00467397" w:rsidRPr="0062342E" w:rsidRDefault="00467397" w:rsidP="00467397">
            <w:pPr>
              <w:pStyle w:val="NoSpacing"/>
              <w:spacing w:line="276" w:lineRule="auto"/>
              <w:jc w:val="center"/>
            </w:pPr>
            <w:r w:rsidRPr="0062342E">
              <w:t>0.036141</w:t>
            </w:r>
          </w:p>
        </w:tc>
      </w:tr>
    </w:tbl>
    <w:p w:rsidR="00467397" w:rsidRDefault="00467397" w:rsidP="00467397">
      <w:pPr>
        <w:pStyle w:val="NoSpacing"/>
        <w:spacing w:line="480" w:lineRule="auto"/>
        <w:jc w:val="both"/>
        <w:rPr>
          <w:rFonts w:ascii="Times New Roman" w:hAnsi="Times New Roman"/>
          <w:b/>
          <w:sz w:val="24"/>
          <w:szCs w:val="24"/>
          <w:lang w:val="en-US"/>
        </w:rPr>
      </w:pPr>
    </w:p>
    <w:p w:rsidR="00467397" w:rsidRPr="00DA29A0" w:rsidRDefault="00467397" w:rsidP="00467397">
      <w:pPr>
        <w:pStyle w:val="NoSpacing"/>
        <w:spacing w:line="360" w:lineRule="auto"/>
        <w:jc w:val="both"/>
        <w:rPr>
          <w:rFonts w:ascii="Times New Roman" w:hAnsi="Times New Roman"/>
          <w:b/>
          <w:sz w:val="24"/>
          <w:szCs w:val="24"/>
          <w:lang w:val="en-US"/>
        </w:rPr>
      </w:pPr>
      <w:r>
        <w:rPr>
          <w:rFonts w:ascii="Times New Roman" w:hAnsi="Times New Roman"/>
          <w:b/>
          <w:sz w:val="24"/>
          <w:szCs w:val="24"/>
          <w:lang w:val="en-US"/>
        </w:rPr>
        <w:t>4</w:t>
      </w:r>
      <w:r w:rsidRPr="006F6DEE">
        <w:rPr>
          <w:rFonts w:ascii="Times New Roman" w:hAnsi="Times New Roman"/>
          <w:b/>
          <w:sz w:val="24"/>
          <w:szCs w:val="24"/>
        </w:rPr>
        <w:t>.</w:t>
      </w:r>
      <w:r>
        <w:rPr>
          <w:rFonts w:ascii="Times New Roman" w:hAnsi="Times New Roman"/>
          <w:b/>
          <w:sz w:val="24"/>
          <w:szCs w:val="24"/>
          <w:lang w:val="en-US"/>
        </w:rPr>
        <w:t>2</w:t>
      </w:r>
      <w:r w:rsidRPr="006F6DEE">
        <w:rPr>
          <w:rFonts w:ascii="Times New Roman" w:hAnsi="Times New Roman"/>
          <w:b/>
          <w:sz w:val="24"/>
          <w:szCs w:val="24"/>
        </w:rPr>
        <w:t xml:space="preserve"> </w:t>
      </w:r>
      <w:r>
        <w:rPr>
          <w:rFonts w:ascii="Times New Roman" w:hAnsi="Times New Roman"/>
          <w:b/>
          <w:sz w:val="24"/>
          <w:szCs w:val="24"/>
          <w:lang w:val="en-US"/>
        </w:rPr>
        <w:t>Pembentukan Portofolio Optimum dengan VaR-CAPM</w:t>
      </w:r>
    </w:p>
    <w:p w:rsidR="00467397" w:rsidRPr="00467397" w:rsidRDefault="00467397" w:rsidP="00321244">
      <w:pPr>
        <w:pStyle w:val="NoSpacing"/>
        <w:spacing w:line="360" w:lineRule="auto"/>
        <w:ind w:firstLine="720"/>
        <w:jc w:val="both"/>
        <w:rPr>
          <w:rFonts w:ascii="Times New Roman" w:hAnsi="Times New Roman"/>
          <w:color w:val="000000" w:themeColor="text1"/>
          <w:sz w:val="24"/>
          <w:szCs w:val="24"/>
          <w:lang w:val="en-US"/>
        </w:rPr>
      </w:pPr>
      <w:proofErr w:type="gramStart"/>
      <w:r>
        <w:rPr>
          <w:rFonts w:ascii="Times New Roman" w:hAnsi="Times New Roman"/>
          <w:color w:val="000000" w:themeColor="text1"/>
          <w:sz w:val="24"/>
          <w:szCs w:val="24"/>
          <w:lang w:val="en-US"/>
        </w:rPr>
        <w:t>Langkah pertama, adalah melakukan e</w:t>
      </w:r>
      <w:r>
        <w:rPr>
          <w:rFonts w:ascii="Times New Roman" w:hAnsi="Times New Roman"/>
          <w:color w:val="000000" w:themeColor="text1"/>
          <w:sz w:val="24"/>
          <w:szCs w:val="24"/>
        </w:rPr>
        <w:t xml:space="preserve">stimasi </w:t>
      </w:r>
      <w:r>
        <w:rPr>
          <w:rFonts w:ascii="Times New Roman" w:hAnsi="Times New Roman"/>
          <w:color w:val="000000" w:themeColor="text1"/>
          <w:sz w:val="24"/>
          <w:szCs w:val="24"/>
          <w:lang w:val="en-US"/>
        </w:rPr>
        <w:t>n</w:t>
      </w:r>
      <w:r>
        <w:rPr>
          <w:rFonts w:ascii="Times New Roman" w:hAnsi="Times New Roman"/>
          <w:color w:val="000000" w:themeColor="text1"/>
          <w:sz w:val="24"/>
          <w:szCs w:val="24"/>
        </w:rPr>
        <w:t xml:space="preserve">ilai </w:t>
      </w:r>
      <w:r>
        <w:rPr>
          <w:rFonts w:ascii="Times New Roman" w:hAnsi="Times New Roman"/>
          <w:color w:val="000000" w:themeColor="text1"/>
          <w:sz w:val="24"/>
          <w:szCs w:val="24"/>
          <w:lang w:val="en-US"/>
        </w:rPr>
        <w:t>b</w:t>
      </w:r>
      <w:r>
        <w:rPr>
          <w:rFonts w:ascii="Times New Roman" w:hAnsi="Times New Roman"/>
          <w:color w:val="000000" w:themeColor="text1"/>
          <w:sz w:val="24"/>
          <w:szCs w:val="24"/>
        </w:rPr>
        <w:t xml:space="preserve">eta dan </w:t>
      </w:r>
      <w:r>
        <w:rPr>
          <w:rFonts w:ascii="Times New Roman" w:hAnsi="Times New Roman"/>
          <w:color w:val="000000" w:themeColor="text1"/>
          <w:sz w:val="24"/>
          <w:szCs w:val="24"/>
          <w:lang w:val="en-US"/>
        </w:rPr>
        <w:t>m</w:t>
      </w:r>
      <w:r>
        <w:rPr>
          <w:rFonts w:ascii="Times New Roman" w:hAnsi="Times New Roman"/>
          <w:color w:val="000000" w:themeColor="text1"/>
          <w:sz w:val="24"/>
          <w:szCs w:val="24"/>
        </w:rPr>
        <w:t xml:space="preserve">ean </w:t>
      </w:r>
      <w:r>
        <w:rPr>
          <w:rFonts w:ascii="Times New Roman" w:hAnsi="Times New Roman"/>
          <w:color w:val="000000" w:themeColor="text1"/>
          <w:sz w:val="24"/>
          <w:szCs w:val="24"/>
          <w:lang w:val="en-US"/>
        </w:rPr>
        <w:t>r</w:t>
      </w:r>
      <w:r>
        <w:rPr>
          <w:rFonts w:ascii="Times New Roman" w:hAnsi="Times New Roman"/>
          <w:color w:val="000000" w:themeColor="text1"/>
          <w:sz w:val="24"/>
          <w:szCs w:val="24"/>
        </w:rPr>
        <w:t>eturn per</w:t>
      </w:r>
      <w:r>
        <w:rPr>
          <w:rFonts w:ascii="Times New Roman" w:hAnsi="Times New Roman"/>
          <w:color w:val="000000" w:themeColor="text1"/>
          <w:sz w:val="24"/>
          <w:szCs w:val="24"/>
          <w:lang w:val="en-US"/>
        </w:rPr>
        <w:t>s</w:t>
      </w:r>
      <w:r w:rsidRPr="00467397">
        <w:rPr>
          <w:rFonts w:ascii="Times New Roman" w:hAnsi="Times New Roman"/>
          <w:color w:val="000000" w:themeColor="text1"/>
          <w:sz w:val="24"/>
          <w:szCs w:val="24"/>
        </w:rPr>
        <w:t>aham</w:t>
      </w:r>
      <w:r>
        <w:rPr>
          <w:rFonts w:ascii="Times New Roman" w:hAnsi="Times New Roman"/>
          <w:color w:val="000000" w:themeColor="text1"/>
          <w:sz w:val="24"/>
          <w:szCs w:val="24"/>
          <w:lang w:val="en-US"/>
        </w:rPr>
        <w:t>.</w:t>
      </w:r>
      <w:proofErr w:type="gramEnd"/>
      <w:r>
        <w:rPr>
          <w:rFonts w:ascii="Times New Roman" w:hAnsi="Times New Roman"/>
          <w:color w:val="000000" w:themeColor="text1"/>
          <w:sz w:val="24"/>
          <w:szCs w:val="24"/>
          <w:lang w:val="en-US"/>
        </w:rPr>
        <w:t xml:space="preserve"> </w:t>
      </w:r>
      <w:r w:rsidRPr="00F36B09">
        <w:rPr>
          <w:rFonts w:ascii="Times New Roman" w:hAnsi="Times New Roman"/>
          <w:color w:val="000000" w:themeColor="text1"/>
          <w:sz w:val="24"/>
          <w:szCs w:val="24"/>
        </w:rPr>
        <w:t xml:space="preserve">Nilai </w:t>
      </w:r>
      <w:r>
        <w:rPr>
          <w:rFonts w:ascii="Times New Roman" w:hAnsi="Times New Roman"/>
          <w:color w:val="000000" w:themeColor="text1"/>
          <w:sz w:val="24"/>
          <w:szCs w:val="24"/>
        </w:rPr>
        <w:t xml:space="preserve">Beta saham adalah nilai yang mengukur resiko relatif saham terhadap resiko pasar </w:t>
      </w:r>
      <m:oMath>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β</m:t>
                </m:r>
              </m:e>
              <m:sub>
                <m:r>
                  <w:rPr>
                    <w:rFonts w:ascii="Cambria Math" w:hAnsi="Cambria Math"/>
                    <w:color w:val="000000" w:themeColor="text1"/>
                    <w:sz w:val="24"/>
                    <w:szCs w:val="24"/>
                  </w:rPr>
                  <m:t>i</m:t>
                </m:r>
              </m:sub>
            </m:sSub>
          </m:e>
        </m:d>
      </m:oMath>
      <w:r>
        <w:rPr>
          <w:rFonts w:ascii="Times New Roman" w:hAnsi="Times New Roman"/>
          <w:color w:val="000000" w:themeColor="text1"/>
          <w:sz w:val="24"/>
          <w:szCs w:val="24"/>
        </w:rPr>
        <w:t xml:space="preserve">. Sedangkan nilai mean </w:t>
      </w:r>
      <w:r w:rsidRPr="005D7CAB">
        <w:rPr>
          <w:rFonts w:ascii="Times New Roman" w:hAnsi="Times New Roman"/>
          <w:i/>
          <w:color w:val="000000" w:themeColor="text1"/>
          <w:sz w:val="24"/>
          <w:szCs w:val="24"/>
        </w:rPr>
        <w:t>return</w:t>
      </w:r>
      <w:r>
        <w:rPr>
          <w:rFonts w:ascii="Times New Roman" w:hAnsi="Times New Roman"/>
          <w:color w:val="000000" w:themeColor="text1"/>
          <w:sz w:val="24"/>
          <w:szCs w:val="24"/>
        </w:rPr>
        <w:t xml:space="preserve"> harian </w:t>
      </w:r>
      <m:oMath>
        <m:d>
          <m:dPr>
            <m:ctrlPr>
              <w:rPr>
                <w:rFonts w:ascii="Cambria Math" w:hAnsi="Cambria Math"/>
                <w:i/>
                <w:color w:val="000000" w:themeColor="text1"/>
                <w:sz w:val="24"/>
                <w:szCs w:val="24"/>
              </w:rPr>
            </m:ctrlPr>
          </m:dPr>
          <m:e>
            <m:sSub>
              <m:sSubPr>
                <m:ctrlPr>
                  <w:rPr>
                    <w:rFonts w:ascii="Cambria Math" w:hAnsi="Cambria Math"/>
                    <w:i/>
                    <w:color w:val="000000" w:themeColor="text1"/>
                    <w:sz w:val="24"/>
                    <w:szCs w:val="24"/>
                  </w:rPr>
                </m:ctrlPr>
              </m:sSubPr>
              <m:e>
                <m:r>
                  <w:rPr>
                    <w:rFonts w:ascii="Cambria Math" w:hAnsi="Cambria Math"/>
                    <w:color w:val="000000" w:themeColor="text1"/>
                    <w:sz w:val="24"/>
                    <w:szCs w:val="24"/>
                  </w:rPr>
                  <m:t>μ</m:t>
                </m:r>
              </m:e>
              <m:sub>
                <m:r>
                  <w:rPr>
                    <w:rFonts w:ascii="Cambria Math" w:hAnsi="Cambria Math"/>
                    <w:color w:val="000000" w:themeColor="text1"/>
                    <w:sz w:val="24"/>
                    <w:szCs w:val="24"/>
                  </w:rPr>
                  <m:t>i</m:t>
                </m:r>
              </m:sub>
            </m:sSub>
          </m:e>
        </m:d>
        <m:r>
          <w:rPr>
            <w:rFonts w:ascii="Cambria Math" w:hAnsi="Cambria Math"/>
            <w:color w:val="000000" w:themeColor="text1"/>
            <w:sz w:val="24"/>
            <w:szCs w:val="24"/>
          </w:rPr>
          <m:t xml:space="preserve"> </m:t>
        </m:r>
      </m:oMath>
      <w:r>
        <w:rPr>
          <w:rFonts w:ascii="Times New Roman" w:hAnsi="Times New Roman"/>
          <w:color w:val="000000" w:themeColor="text1"/>
          <w:sz w:val="24"/>
          <w:szCs w:val="24"/>
        </w:rPr>
        <w:t>setiap saham diperoleh dengan asumsi suku bunga 6.50% atau dikonversi kedalam suku bunga harian 0.271%.</w:t>
      </w:r>
    </w:p>
    <w:p w:rsidR="00467397" w:rsidRPr="005D7CAB" w:rsidRDefault="00467397" w:rsidP="00321244">
      <w:pPr>
        <w:autoSpaceDE w:val="0"/>
        <w:autoSpaceDN w:val="0"/>
        <w:adjustRightInd w:val="0"/>
        <w:jc w:val="center"/>
        <w:rPr>
          <w:i/>
          <w:color w:val="000000" w:themeColor="text1"/>
          <w:lang w:val="en-US"/>
        </w:rPr>
      </w:pPr>
      <w:r>
        <w:rPr>
          <w:rFonts w:ascii="Times New Roman" w:hAnsi="Times New Roman"/>
          <w:color w:val="000000" w:themeColor="text1"/>
          <w:sz w:val="24"/>
          <w:szCs w:val="24"/>
          <w:lang w:val="en-US"/>
        </w:rPr>
        <w:t xml:space="preserve">Tabel 3 Nilai Perhitungan Beta dan </w:t>
      </w:r>
      <w:r>
        <w:rPr>
          <w:rFonts w:ascii="Times New Roman" w:hAnsi="Times New Roman"/>
          <w:i/>
          <w:color w:val="000000" w:themeColor="text1"/>
          <w:sz w:val="24"/>
          <w:szCs w:val="24"/>
          <w:lang w:val="en-US"/>
        </w:rPr>
        <w:t xml:space="preserve">Return </w:t>
      </w:r>
      <w:r w:rsidRPr="005D7CAB">
        <w:rPr>
          <w:rFonts w:ascii="Times New Roman" w:hAnsi="Times New Roman"/>
          <w:color w:val="000000" w:themeColor="text1"/>
          <w:sz w:val="24"/>
          <w:szCs w:val="24"/>
          <w:lang w:val="en-US"/>
        </w:rPr>
        <w:t>Harian</w:t>
      </w:r>
    </w:p>
    <w:tbl>
      <w:tblPr>
        <w:tblStyle w:val="TableGrid"/>
        <w:tblW w:w="0" w:type="auto"/>
        <w:jc w:val="center"/>
        <w:tblLook w:val="04A0"/>
      </w:tblPr>
      <w:tblGrid>
        <w:gridCol w:w="526"/>
        <w:gridCol w:w="902"/>
        <w:gridCol w:w="1261"/>
        <w:gridCol w:w="1193"/>
        <w:gridCol w:w="2195"/>
      </w:tblGrid>
      <w:tr w:rsidR="00467397" w:rsidRPr="00675BA0" w:rsidTr="00467397">
        <w:trPr>
          <w:trHeight w:val="516"/>
          <w:jc w:val="center"/>
        </w:trPr>
        <w:tc>
          <w:tcPr>
            <w:tcW w:w="526" w:type="dxa"/>
            <w:shd w:val="clear" w:color="auto" w:fill="BFBFBF" w:themeFill="background1" w:themeFillShade="BF"/>
            <w:vAlign w:val="center"/>
          </w:tcPr>
          <w:p w:rsidR="00467397" w:rsidRPr="00675BA0" w:rsidRDefault="00467397" w:rsidP="00467397">
            <w:pPr>
              <w:pStyle w:val="NoSpacing"/>
              <w:spacing w:line="276" w:lineRule="auto"/>
              <w:rPr>
                <w:b/>
                <w:lang w:val="en-US"/>
              </w:rPr>
            </w:pPr>
            <w:r w:rsidRPr="00675BA0">
              <w:rPr>
                <w:b/>
              </w:rPr>
              <w:t>No</w:t>
            </w:r>
          </w:p>
        </w:tc>
        <w:tc>
          <w:tcPr>
            <w:tcW w:w="902" w:type="dxa"/>
            <w:shd w:val="clear" w:color="auto" w:fill="BFBFBF" w:themeFill="background1" w:themeFillShade="BF"/>
            <w:vAlign w:val="center"/>
          </w:tcPr>
          <w:p w:rsidR="00467397" w:rsidRPr="00675BA0" w:rsidRDefault="00467397" w:rsidP="00467397">
            <w:pPr>
              <w:pStyle w:val="NoSpacing"/>
              <w:spacing w:line="276" w:lineRule="auto"/>
              <w:rPr>
                <w:b/>
              </w:rPr>
            </w:pPr>
            <w:r w:rsidRPr="00675BA0">
              <w:rPr>
                <w:b/>
              </w:rPr>
              <w:t>Kode</w:t>
            </w:r>
          </w:p>
        </w:tc>
        <w:tc>
          <w:tcPr>
            <w:tcW w:w="1261" w:type="dxa"/>
            <w:shd w:val="clear" w:color="auto" w:fill="BFBFBF" w:themeFill="background1" w:themeFillShade="BF"/>
            <w:vAlign w:val="center"/>
          </w:tcPr>
          <w:p w:rsidR="00467397" w:rsidRPr="00675BA0" w:rsidRDefault="00467397" w:rsidP="00467397">
            <w:pPr>
              <w:pStyle w:val="NoSpacing"/>
              <w:spacing w:line="276" w:lineRule="auto"/>
              <w:rPr>
                <w:rFonts w:eastAsia="Calibri"/>
                <w:b/>
              </w:rPr>
            </w:pPr>
            <m:oMathPara>
              <m:oMath>
                <m:sSub>
                  <m:sSubPr>
                    <m:ctrlPr>
                      <w:rPr>
                        <w:rFonts w:ascii="Cambria Math" w:eastAsiaTheme="minorHAnsi" w:hAnsi="Cambria Math"/>
                        <w:b/>
                        <w:i/>
                        <w:lang w:val="en-US"/>
                      </w:rPr>
                    </m:ctrlPr>
                  </m:sSubPr>
                  <m:e>
                    <m:r>
                      <m:rPr>
                        <m:sty m:val="bi"/>
                      </m:rPr>
                      <w:rPr>
                        <w:rFonts w:ascii="Cambria Math" w:eastAsiaTheme="minorHAnsi" w:hAnsi="Cambria Math"/>
                        <w:lang w:val="en-US"/>
                      </w:rPr>
                      <m:t>σ</m:t>
                    </m:r>
                  </m:e>
                  <m:sub>
                    <m:r>
                      <m:rPr>
                        <m:sty m:val="bi"/>
                      </m:rPr>
                      <w:rPr>
                        <w:rFonts w:ascii="Cambria Math" w:eastAsiaTheme="minorHAnsi" w:hAnsi="Cambria Math"/>
                        <w:lang w:val="en-US"/>
                      </w:rPr>
                      <m:t>im</m:t>
                    </m:r>
                  </m:sub>
                </m:sSub>
              </m:oMath>
            </m:oMathPara>
          </w:p>
        </w:tc>
        <w:tc>
          <w:tcPr>
            <w:tcW w:w="1193" w:type="dxa"/>
            <w:shd w:val="clear" w:color="auto" w:fill="BFBFBF" w:themeFill="background1" w:themeFillShade="BF"/>
            <w:vAlign w:val="center"/>
          </w:tcPr>
          <w:p w:rsidR="00467397" w:rsidRPr="00675BA0" w:rsidRDefault="00467397" w:rsidP="00467397">
            <w:pPr>
              <w:pStyle w:val="NoSpacing"/>
              <w:spacing w:line="276" w:lineRule="auto"/>
              <w:rPr>
                <w:b/>
                <w:lang w:val="en-US"/>
              </w:rPr>
            </w:pPr>
            <m:oMathPara>
              <m:oMath>
                <m:sSub>
                  <m:sSubPr>
                    <m:ctrlPr>
                      <w:rPr>
                        <w:rFonts w:ascii="Cambria Math" w:eastAsiaTheme="minorHAnsi" w:hAnsi="Cambria Math"/>
                        <w:b/>
                        <w:i/>
                        <w:lang w:val="en-US"/>
                      </w:rPr>
                    </m:ctrlPr>
                  </m:sSubPr>
                  <m:e>
                    <m:r>
                      <m:rPr>
                        <m:sty m:val="bi"/>
                      </m:rPr>
                      <w:rPr>
                        <w:rFonts w:ascii="Cambria Math" w:hAnsi="Cambria Math"/>
                      </w:rPr>
                      <m:t>β</m:t>
                    </m:r>
                  </m:e>
                  <m:sub>
                    <m:r>
                      <m:rPr>
                        <m:sty m:val="bi"/>
                      </m:rPr>
                      <w:rPr>
                        <w:rFonts w:ascii="Cambria Math" w:hAnsi="Cambria Math"/>
                      </w:rPr>
                      <m:t>i</m:t>
                    </m:r>
                  </m:sub>
                </m:sSub>
                <m:r>
                  <m:rPr>
                    <m:sty m:val="bi"/>
                  </m:rPr>
                  <w:rPr>
                    <w:rFonts w:ascii="Cambria Math" w:eastAsiaTheme="minorHAnsi"/>
                    <w:lang w:val="en-US"/>
                  </w:rPr>
                  <m:t>=</m:t>
                </m:r>
                <m:f>
                  <m:fPr>
                    <m:ctrlPr>
                      <w:rPr>
                        <w:rFonts w:ascii="Cambria Math" w:eastAsiaTheme="minorHAnsi" w:hAnsi="Cambria Math"/>
                        <w:b/>
                        <w:i/>
                        <w:lang w:val="en-US"/>
                      </w:rPr>
                    </m:ctrlPr>
                  </m:fPr>
                  <m:num>
                    <m:sSub>
                      <m:sSubPr>
                        <m:ctrlPr>
                          <w:rPr>
                            <w:rFonts w:ascii="Cambria Math" w:eastAsiaTheme="minorHAnsi" w:hAnsi="Cambria Math"/>
                            <w:b/>
                            <w:i/>
                            <w:lang w:val="en-US"/>
                          </w:rPr>
                        </m:ctrlPr>
                      </m:sSubPr>
                      <m:e>
                        <m:r>
                          <m:rPr>
                            <m:sty m:val="bi"/>
                          </m:rPr>
                          <w:rPr>
                            <w:rFonts w:ascii="Cambria Math" w:eastAsiaTheme="minorHAnsi" w:hAnsi="Cambria Math"/>
                            <w:lang w:val="en-US"/>
                          </w:rPr>
                          <m:t>σ</m:t>
                        </m:r>
                      </m:e>
                      <m:sub>
                        <m:r>
                          <m:rPr>
                            <m:sty m:val="bi"/>
                          </m:rPr>
                          <w:rPr>
                            <w:rFonts w:ascii="Cambria Math" w:eastAsiaTheme="minorHAnsi" w:hAnsi="Cambria Math"/>
                            <w:lang w:val="en-US"/>
                          </w:rPr>
                          <m:t>im</m:t>
                        </m:r>
                      </m:sub>
                    </m:sSub>
                  </m:num>
                  <m:den>
                    <m:sSub>
                      <m:sSubPr>
                        <m:ctrlPr>
                          <w:rPr>
                            <w:rFonts w:ascii="Cambria Math" w:eastAsiaTheme="minorHAnsi" w:hAnsi="Cambria Math"/>
                            <w:b/>
                            <w:i/>
                            <w:lang w:val="en-US"/>
                          </w:rPr>
                        </m:ctrlPr>
                      </m:sSubPr>
                      <m:e>
                        <m:r>
                          <m:rPr>
                            <m:sty m:val="bi"/>
                          </m:rPr>
                          <w:rPr>
                            <w:rFonts w:ascii="Cambria Math" w:eastAsiaTheme="minorHAnsi" w:hAnsi="Cambria Math"/>
                            <w:lang w:val="en-US"/>
                          </w:rPr>
                          <m:t>σ</m:t>
                        </m:r>
                      </m:e>
                      <m:sub>
                        <m:r>
                          <m:rPr>
                            <m:sty m:val="bi"/>
                          </m:rPr>
                          <w:rPr>
                            <w:rFonts w:ascii="Cambria Math" w:eastAsiaTheme="minorHAnsi" w:hAnsi="Cambria Math"/>
                            <w:lang w:val="en-US"/>
                          </w:rPr>
                          <m:t>mm</m:t>
                        </m:r>
                      </m:sub>
                    </m:sSub>
                  </m:den>
                </m:f>
              </m:oMath>
            </m:oMathPara>
          </w:p>
        </w:tc>
        <w:tc>
          <w:tcPr>
            <w:tcW w:w="2195" w:type="dxa"/>
            <w:shd w:val="clear" w:color="auto" w:fill="BFBFBF" w:themeFill="background1" w:themeFillShade="BF"/>
            <w:vAlign w:val="center"/>
          </w:tcPr>
          <w:p w:rsidR="00467397" w:rsidRPr="00675BA0" w:rsidRDefault="00467397" w:rsidP="00467397">
            <w:pPr>
              <w:pStyle w:val="NoSpacing"/>
              <w:spacing w:line="276" w:lineRule="auto"/>
              <w:rPr>
                <w:b/>
                <w:lang w:val="en-US"/>
              </w:rPr>
            </w:pPr>
            <m:oMathPara>
              <m:oMath>
                <m:sSub>
                  <m:sSubPr>
                    <m:ctrlPr>
                      <w:rPr>
                        <w:rFonts w:ascii="Cambria Math" w:eastAsiaTheme="minorHAnsi" w:hAnsi="Cambria Math"/>
                        <w:b/>
                        <w:i/>
                        <w:lang w:val="en-US"/>
                      </w:rPr>
                    </m:ctrlPr>
                  </m:sSubPr>
                  <m:e>
                    <m:r>
                      <m:rPr>
                        <m:sty m:val="bi"/>
                      </m:rPr>
                      <w:rPr>
                        <w:rFonts w:ascii="Cambria Math" w:hAnsi="Cambria Math"/>
                      </w:rPr>
                      <m:t>μ</m:t>
                    </m:r>
                  </m:e>
                  <m:sub>
                    <m:r>
                      <m:rPr>
                        <m:sty m:val="bi"/>
                      </m:rPr>
                      <w:rPr>
                        <w:rFonts w:ascii="Cambria Math" w:hAnsi="Cambria Math"/>
                      </w:rPr>
                      <m:t>i</m:t>
                    </m:r>
                  </m:sub>
                </m:sSub>
                <m:r>
                  <m:rPr>
                    <m:sty m:val="bi"/>
                  </m:rPr>
                  <w:rPr>
                    <w:rFonts w:ascii="Cambria Math" w:eastAsiaTheme="minorHAnsi"/>
                    <w:lang w:val="en-US"/>
                  </w:rPr>
                  <m:t>=</m:t>
                </m:r>
                <m:r>
                  <m:rPr>
                    <m:sty m:val="bi"/>
                  </m:rPr>
                  <w:rPr>
                    <w:rFonts w:ascii="Cambria Math" w:eastAsiaTheme="minorHAnsi" w:hAnsi="Cambria Math"/>
                    <w:lang w:val="en-US"/>
                  </w:rPr>
                  <m:t>r</m:t>
                </m:r>
                <m:r>
                  <m:rPr>
                    <m:sty m:val="bi"/>
                  </m:rPr>
                  <w:rPr>
                    <w:rFonts w:ascii="Cambria Math" w:eastAsiaTheme="minorHAnsi"/>
                    <w:lang w:val="en-US"/>
                  </w:rPr>
                  <m:t>+</m:t>
                </m:r>
                <m:sSub>
                  <m:sSubPr>
                    <m:ctrlPr>
                      <w:rPr>
                        <w:rFonts w:ascii="Cambria Math" w:eastAsiaTheme="minorHAnsi" w:hAnsi="Cambria Math"/>
                        <w:b/>
                        <w:i/>
                        <w:lang w:val="en-US"/>
                      </w:rPr>
                    </m:ctrlPr>
                  </m:sSubPr>
                  <m:e>
                    <m:r>
                      <m:rPr>
                        <m:sty m:val="bi"/>
                      </m:rPr>
                      <w:rPr>
                        <w:rFonts w:ascii="Cambria Math" w:hAnsi="Cambria Math"/>
                      </w:rPr>
                      <m:t>β</m:t>
                    </m:r>
                  </m:e>
                  <m:sub>
                    <m:r>
                      <m:rPr>
                        <m:sty m:val="bi"/>
                      </m:rPr>
                      <w:rPr>
                        <w:rFonts w:ascii="Cambria Math" w:hAnsi="Cambria Math"/>
                      </w:rPr>
                      <m:t>i</m:t>
                    </m:r>
                  </m:sub>
                </m:sSub>
                <m:d>
                  <m:dPr>
                    <m:ctrlPr>
                      <w:rPr>
                        <w:rFonts w:ascii="Cambria Math" w:eastAsiaTheme="minorHAnsi" w:hAnsi="Cambria Math"/>
                        <w:b/>
                        <w:i/>
                        <w:lang w:val="en-US"/>
                      </w:rPr>
                    </m:ctrlPr>
                  </m:dPr>
                  <m:e>
                    <m:sSub>
                      <m:sSubPr>
                        <m:ctrlPr>
                          <w:rPr>
                            <w:rFonts w:ascii="Cambria Math" w:eastAsiaTheme="minorHAnsi" w:hAnsi="Cambria Math"/>
                            <w:b/>
                            <w:i/>
                            <w:lang w:val="en-US"/>
                          </w:rPr>
                        </m:ctrlPr>
                      </m:sSubPr>
                      <m:e>
                        <m:r>
                          <m:rPr>
                            <m:sty m:val="bi"/>
                          </m:rPr>
                          <w:rPr>
                            <w:rFonts w:ascii="Cambria Math" w:hAnsi="Cambria Math"/>
                          </w:rPr>
                          <m:t>μ</m:t>
                        </m:r>
                      </m:e>
                      <m:sub>
                        <m:r>
                          <m:rPr>
                            <m:sty m:val="bi"/>
                          </m:rPr>
                          <w:rPr>
                            <w:rFonts w:ascii="Cambria Math" w:hAnsi="Cambria Math"/>
                          </w:rPr>
                          <m:t>M</m:t>
                        </m:r>
                      </m:sub>
                    </m:sSub>
                    <m:r>
                      <m:rPr>
                        <m:sty m:val="bi"/>
                      </m:rPr>
                      <w:rPr>
                        <w:rFonts w:ascii="Cambria Math" w:eastAsiaTheme="minorHAnsi" w:hAnsi="Cambria Math"/>
                        <w:lang w:val="en-US"/>
                      </w:rPr>
                      <m:t>-r</m:t>
                    </m:r>
                  </m:e>
                </m:d>
              </m:oMath>
            </m:oMathPara>
          </w:p>
        </w:tc>
      </w:tr>
      <w:tr w:rsidR="00467397" w:rsidRPr="0023025D" w:rsidTr="00467397">
        <w:trPr>
          <w:jc w:val="center"/>
        </w:trPr>
        <w:tc>
          <w:tcPr>
            <w:tcW w:w="526" w:type="dxa"/>
            <w:vAlign w:val="center"/>
          </w:tcPr>
          <w:p w:rsidR="00467397" w:rsidRPr="0023025D" w:rsidRDefault="00467397" w:rsidP="00467397">
            <w:pPr>
              <w:pStyle w:val="NoSpacing"/>
              <w:spacing w:line="276" w:lineRule="auto"/>
              <w:rPr>
                <w:lang w:val="en-US"/>
              </w:rPr>
            </w:pPr>
            <w:r w:rsidRPr="0023025D">
              <w:rPr>
                <w:lang w:val="en-US"/>
              </w:rPr>
              <w:t>1</w:t>
            </w:r>
          </w:p>
        </w:tc>
        <w:tc>
          <w:tcPr>
            <w:tcW w:w="902" w:type="dxa"/>
            <w:vAlign w:val="center"/>
          </w:tcPr>
          <w:p w:rsidR="00467397" w:rsidRPr="0023025D" w:rsidRDefault="00467397" w:rsidP="00467397">
            <w:pPr>
              <w:pStyle w:val="NoSpacing"/>
              <w:spacing w:line="276" w:lineRule="auto"/>
              <w:jc w:val="center"/>
            </w:pPr>
            <w:r w:rsidRPr="0023025D">
              <w:t>ASII</w:t>
            </w:r>
          </w:p>
        </w:tc>
        <w:tc>
          <w:tcPr>
            <w:tcW w:w="1261" w:type="dxa"/>
            <w:vAlign w:val="bottom"/>
          </w:tcPr>
          <w:p w:rsidR="00467397" w:rsidRPr="0023025D" w:rsidRDefault="00467397" w:rsidP="00467397">
            <w:pPr>
              <w:pStyle w:val="NoSpacing"/>
              <w:spacing w:line="276" w:lineRule="auto"/>
              <w:jc w:val="center"/>
              <w:rPr>
                <w:color w:val="000000"/>
              </w:rPr>
            </w:pPr>
            <w:r w:rsidRPr="0023025D">
              <w:rPr>
                <w:color w:val="000000"/>
              </w:rPr>
              <w:t>0.00018021</w:t>
            </w:r>
          </w:p>
        </w:tc>
        <w:tc>
          <w:tcPr>
            <w:tcW w:w="1193" w:type="dxa"/>
            <w:vAlign w:val="bottom"/>
          </w:tcPr>
          <w:p w:rsidR="00467397" w:rsidRPr="0023025D" w:rsidRDefault="00467397" w:rsidP="00467397">
            <w:pPr>
              <w:pStyle w:val="NoSpacing"/>
              <w:spacing w:line="276" w:lineRule="auto"/>
              <w:jc w:val="center"/>
              <w:rPr>
                <w:color w:val="000000"/>
              </w:rPr>
            </w:pPr>
            <w:r w:rsidRPr="0023025D">
              <w:rPr>
                <w:color w:val="000000"/>
              </w:rPr>
              <w:t>1.226929</w:t>
            </w:r>
          </w:p>
        </w:tc>
        <w:tc>
          <w:tcPr>
            <w:tcW w:w="2195" w:type="dxa"/>
            <w:vAlign w:val="bottom"/>
          </w:tcPr>
          <w:p w:rsidR="00467397" w:rsidRPr="0023025D" w:rsidRDefault="00467397" w:rsidP="00467397">
            <w:pPr>
              <w:pStyle w:val="NoSpacing"/>
              <w:spacing w:line="276" w:lineRule="auto"/>
              <w:jc w:val="center"/>
              <w:rPr>
                <w:color w:val="000000"/>
              </w:rPr>
            </w:pPr>
            <w:r w:rsidRPr="0023025D">
              <w:rPr>
                <w:color w:val="000000"/>
              </w:rPr>
              <w:t>0.000457</w:t>
            </w:r>
          </w:p>
        </w:tc>
      </w:tr>
      <w:tr w:rsidR="00467397" w:rsidRPr="0023025D" w:rsidTr="00467397">
        <w:trPr>
          <w:jc w:val="center"/>
        </w:trPr>
        <w:tc>
          <w:tcPr>
            <w:tcW w:w="526" w:type="dxa"/>
            <w:vAlign w:val="center"/>
          </w:tcPr>
          <w:p w:rsidR="00467397" w:rsidRPr="0023025D" w:rsidRDefault="00467397" w:rsidP="00467397">
            <w:pPr>
              <w:pStyle w:val="NoSpacing"/>
              <w:spacing w:line="276" w:lineRule="auto"/>
              <w:rPr>
                <w:lang w:val="en-US"/>
              </w:rPr>
            </w:pPr>
            <w:r w:rsidRPr="0023025D">
              <w:rPr>
                <w:lang w:val="en-US"/>
              </w:rPr>
              <w:t>2</w:t>
            </w:r>
          </w:p>
        </w:tc>
        <w:tc>
          <w:tcPr>
            <w:tcW w:w="902" w:type="dxa"/>
            <w:vAlign w:val="center"/>
          </w:tcPr>
          <w:p w:rsidR="00467397" w:rsidRPr="0023025D" w:rsidRDefault="00467397" w:rsidP="00467397">
            <w:pPr>
              <w:pStyle w:val="NoSpacing"/>
              <w:spacing w:line="276" w:lineRule="auto"/>
              <w:jc w:val="center"/>
              <w:rPr>
                <w:lang w:val="en-US"/>
              </w:rPr>
            </w:pPr>
            <w:r w:rsidRPr="0023025D">
              <w:rPr>
                <w:lang w:val="en-US"/>
              </w:rPr>
              <w:t>ASRI</w:t>
            </w:r>
          </w:p>
        </w:tc>
        <w:tc>
          <w:tcPr>
            <w:tcW w:w="1261" w:type="dxa"/>
            <w:vAlign w:val="bottom"/>
          </w:tcPr>
          <w:p w:rsidR="00467397" w:rsidRPr="0023025D" w:rsidRDefault="00467397" w:rsidP="00467397">
            <w:pPr>
              <w:pStyle w:val="NoSpacing"/>
              <w:spacing w:line="276" w:lineRule="auto"/>
              <w:jc w:val="center"/>
              <w:rPr>
                <w:color w:val="000000"/>
              </w:rPr>
            </w:pPr>
            <w:r w:rsidRPr="0023025D">
              <w:rPr>
                <w:color w:val="000000"/>
              </w:rPr>
              <w:t>0.00018359</w:t>
            </w:r>
          </w:p>
        </w:tc>
        <w:tc>
          <w:tcPr>
            <w:tcW w:w="1193" w:type="dxa"/>
            <w:vAlign w:val="bottom"/>
          </w:tcPr>
          <w:p w:rsidR="00467397" w:rsidRPr="0023025D" w:rsidRDefault="00467397" w:rsidP="00467397">
            <w:pPr>
              <w:pStyle w:val="NoSpacing"/>
              <w:spacing w:line="276" w:lineRule="auto"/>
              <w:jc w:val="center"/>
              <w:rPr>
                <w:color w:val="000000"/>
              </w:rPr>
            </w:pPr>
            <w:r w:rsidRPr="0023025D">
              <w:rPr>
                <w:color w:val="000000"/>
              </w:rPr>
              <w:t>1.249904</w:t>
            </w:r>
          </w:p>
        </w:tc>
        <w:tc>
          <w:tcPr>
            <w:tcW w:w="2195" w:type="dxa"/>
            <w:vAlign w:val="bottom"/>
          </w:tcPr>
          <w:p w:rsidR="00467397" w:rsidRPr="0023025D" w:rsidRDefault="00467397" w:rsidP="00467397">
            <w:pPr>
              <w:pStyle w:val="NoSpacing"/>
              <w:spacing w:line="276" w:lineRule="auto"/>
              <w:jc w:val="center"/>
              <w:rPr>
                <w:color w:val="000000"/>
              </w:rPr>
            </w:pPr>
            <w:r w:rsidRPr="0023025D">
              <w:rPr>
                <w:color w:val="000000"/>
              </w:rPr>
              <w:t>0.000461</w:t>
            </w:r>
          </w:p>
        </w:tc>
      </w:tr>
      <w:tr w:rsidR="00467397" w:rsidRPr="0023025D" w:rsidTr="00467397">
        <w:trPr>
          <w:jc w:val="center"/>
        </w:trPr>
        <w:tc>
          <w:tcPr>
            <w:tcW w:w="526" w:type="dxa"/>
            <w:vAlign w:val="center"/>
          </w:tcPr>
          <w:p w:rsidR="00467397" w:rsidRPr="0023025D" w:rsidRDefault="00467397" w:rsidP="00467397">
            <w:pPr>
              <w:pStyle w:val="NoSpacing"/>
              <w:spacing w:line="276" w:lineRule="auto"/>
              <w:rPr>
                <w:lang w:val="en-US"/>
              </w:rPr>
            </w:pPr>
            <w:r w:rsidRPr="0023025D">
              <w:rPr>
                <w:lang w:val="en-US"/>
              </w:rPr>
              <w:t>3</w:t>
            </w:r>
          </w:p>
        </w:tc>
        <w:tc>
          <w:tcPr>
            <w:tcW w:w="902" w:type="dxa"/>
            <w:vAlign w:val="center"/>
          </w:tcPr>
          <w:p w:rsidR="00467397" w:rsidRPr="0023025D" w:rsidRDefault="00467397" w:rsidP="00467397">
            <w:pPr>
              <w:pStyle w:val="NoSpacing"/>
              <w:spacing w:line="276" w:lineRule="auto"/>
              <w:jc w:val="center"/>
              <w:rPr>
                <w:lang w:val="en-US"/>
              </w:rPr>
            </w:pPr>
            <w:r w:rsidRPr="0023025D">
              <w:rPr>
                <w:lang w:val="en-US"/>
              </w:rPr>
              <w:t>CPIN</w:t>
            </w:r>
          </w:p>
        </w:tc>
        <w:tc>
          <w:tcPr>
            <w:tcW w:w="1261" w:type="dxa"/>
            <w:vAlign w:val="bottom"/>
          </w:tcPr>
          <w:p w:rsidR="00467397" w:rsidRPr="0023025D" w:rsidRDefault="00467397" w:rsidP="00467397">
            <w:pPr>
              <w:pStyle w:val="NoSpacing"/>
              <w:spacing w:line="276" w:lineRule="auto"/>
              <w:jc w:val="center"/>
              <w:rPr>
                <w:color w:val="000000"/>
              </w:rPr>
            </w:pPr>
            <w:r w:rsidRPr="0023025D">
              <w:rPr>
                <w:color w:val="000000"/>
              </w:rPr>
              <w:t>0.0002204</w:t>
            </w:r>
            <w:r>
              <w:rPr>
                <w:color w:val="000000"/>
              </w:rPr>
              <w:t>0</w:t>
            </w:r>
          </w:p>
        </w:tc>
        <w:tc>
          <w:tcPr>
            <w:tcW w:w="1193" w:type="dxa"/>
            <w:vAlign w:val="bottom"/>
          </w:tcPr>
          <w:p w:rsidR="00467397" w:rsidRPr="0023025D" w:rsidRDefault="00467397" w:rsidP="00467397">
            <w:pPr>
              <w:pStyle w:val="NoSpacing"/>
              <w:spacing w:line="276" w:lineRule="auto"/>
              <w:jc w:val="center"/>
              <w:rPr>
                <w:color w:val="000000"/>
              </w:rPr>
            </w:pPr>
            <w:r w:rsidRPr="0023025D">
              <w:rPr>
                <w:color w:val="000000"/>
              </w:rPr>
              <w:t>1.500561</w:t>
            </w:r>
          </w:p>
        </w:tc>
        <w:tc>
          <w:tcPr>
            <w:tcW w:w="2195" w:type="dxa"/>
            <w:vAlign w:val="bottom"/>
          </w:tcPr>
          <w:p w:rsidR="00467397" w:rsidRPr="0023025D" w:rsidRDefault="00467397" w:rsidP="00467397">
            <w:pPr>
              <w:pStyle w:val="NoSpacing"/>
              <w:spacing w:line="276" w:lineRule="auto"/>
              <w:jc w:val="center"/>
              <w:rPr>
                <w:color w:val="000000"/>
              </w:rPr>
            </w:pPr>
            <w:r w:rsidRPr="0023025D">
              <w:rPr>
                <w:color w:val="000000"/>
              </w:rPr>
              <w:t>0.000499</w:t>
            </w:r>
          </w:p>
        </w:tc>
      </w:tr>
      <w:tr w:rsidR="00467397" w:rsidRPr="0023025D" w:rsidTr="00467397">
        <w:trPr>
          <w:jc w:val="center"/>
        </w:trPr>
        <w:tc>
          <w:tcPr>
            <w:tcW w:w="526" w:type="dxa"/>
            <w:vAlign w:val="center"/>
          </w:tcPr>
          <w:p w:rsidR="00467397" w:rsidRPr="0023025D" w:rsidRDefault="00467397" w:rsidP="00467397">
            <w:pPr>
              <w:pStyle w:val="NoSpacing"/>
              <w:spacing w:line="276" w:lineRule="auto"/>
              <w:rPr>
                <w:lang w:val="en-US"/>
              </w:rPr>
            </w:pPr>
            <w:r w:rsidRPr="0023025D">
              <w:rPr>
                <w:lang w:val="en-US"/>
              </w:rPr>
              <w:t>4</w:t>
            </w:r>
          </w:p>
        </w:tc>
        <w:tc>
          <w:tcPr>
            <w:tcW w:w="902" w:type="dxa"/>
            <w:vAlign w:val="center"/>
          </w:tcPr>
          <w:p w:rsidR="00467397" w:rsidRPr="0023025D" w:rsidRDefault="00467397" w:rsidP="00467397">
            <w:pPr>
              <w:pStyle w:val="NoSpacing"/>
              <w:spacing w:line="276" w:lineRule="auto"/>
              <w:jc w:val="center"/>
            </w:pPr>
            <w:r w:rsidRPr="0023025D">
              <w:t>INTP</w:t>
            </w:r>
          </w:p>
        </w:tc>
        <w:tc>
          <w:tcPr>
            <w:tcW w:w="1261" w:type="dxa"/>
            <w:vAlign w:val="bottom"/>
          </w:tcPr>
          <w:p w:rsidR="00467397" w:rsidRPr="0023025D" w:rsidRDefault="00467397" w:rsidP="00467397">
            <w:pPr>
              <w:pStyle w:val="NoSpacing"/>
              <w:spacing w:line="276" w:lineRule="auto"/>
              <w:jc w:val="center"/>
              <w:rPr>
                <w:color w:val="000000"/>
              </w:rPr>
            </w:pPr>
            <w:r w:rsidRPr="0023025D">
              <w:rPr>
                <w:color w:val="000000"/>
              </w:rPr>
              <w:t>0.0001974</w:t>
            </w:r>
            <w:r>
              <w:rPr>
                <w:color w:val="000000"/>
              </w:rPr>
              <w:t>0</w:t>
            </w:r>
          </w:p>
        </w:tc>
        <w:tc>
          <w:tcPr>
            <w:tcW w:w="1193" w:type="dxa"/>
            <w:vAlign w:val="bottom"/>
          </w:tcPr>
          <w:p w:rsidR="00467397" w:rsidRPr="0023025D" w:rsidRDefault="00467397" w:rsidP="00467397">
            <w:pPr>
              <w:pStyle w:val="NoSpacing"/>
              <w:spacing w:line="276" w:lineRule="auto"/>
              <w:jc w:val="center"/>
              <w:rPr>
                <w:color w:val="000000"/>
              </w:rPr>
            </w:pPr>
            <w:r w:rsidRPr="0023025D">
              <w:rPr>
                <w:color w:val="000000"/>
              </w:rPr>
              <w:t>1.343966</w:t>
            </w:r>
          </w:p>
        </w:tc>
        <w:tc>
          <w:tcPr>
            <w:tcW w:w="2195" w:type="dxa"/>
            <w:vAlign w:val="bottom"/>
          </w:tcPr>
          <w:p w:rsidR="00467397" w:rsidRPr="0023025D" w:rsidRDefault="00467397" w:rsidP="00467397">
            <w:pPr>
              <w:pStyle w:val="NoSpacing"/>
              <w:spacing w:line="276" w:lineRule="auto"/>
              <w:jc w:val="center"/>
              <w:rPr>
                <w:color w:val="000000"/>
              </w:rPr>
            </w:pPr>
            <w:r w:rsidRPr="0023025D">
              <w:rPr>
                <w:color w:val="000000"/>
              </w:rPr>
              <w:t>0.000475</w:t>
            </w:r>
          </w:p>
        </w:tc>
      </w:tr>
      <w:tr w:rsidR="00467397" w:rsidRPr="0023025D" w:rsidTr="00467397">
        <w:trPr>
          <w:jc w:val="center"/>
        </w:trPr>
        <w:tc>
          <w:tcPr>
            <w:tcW w:w="526" w:type="dxa"/>
            <w:vAlign w:val="center"/>
          </w:tcPr>
          <w:p w:rsidR="00467397" w:rsidRPr="0023025D" w:rsidRDefault="00467397" w:rsidP="00467397">
            <w:pPr>
              <w:pStyle w:val="NoSpacing"/>
              <w:spacing w:line="276" w:lineRule="auto"/>
              <w:rPr>
                <w:lang w:val="en-US"/>
              </w:rPr>
            </w:pPr>
            <w:r w:rsidRPr="0023025D">
              <w:rPr>
                <w:lang w:val="en-US"/>
              </w:rPr>
              <w:t>5</w:t>
            </w:r>
          </w:p>
        </w:tc>
        <w:tc>
          <w:tcPr>
            <w:tcW w:w="902" w:type="dxa"/>
            <w:vAlign w:val="center"/>
          </w:tcPr>
          <w:p w:rsidR="00467397" w:rsidRPr="0023025D" w:rsidRDefault="00467397" w:rsidP="00467397">
            <w:pPr>
              <w:pStyle w:val="NoSpacing"/>
              <w:spacing w:line="276" w:lineRule="auto"/>
              <w:jc w:val="center"/>
            </w:pPr>
            <w:r w:rsidRPr="0023025D">
              <w:t>KLBF</w:t>
            </w:r>
          </w:p>
        </w:tc>
        <w:tc>
          <w:tcPr>
            <w:tcW w:w="1261" w:type="dxa"/>
            <w:vAlign w:val="bottom"/>
          </w:tcPr>
          <w:p w:rsidR="00467397" w:rsidRPr="0023025D" w:rsidRDefault="00467397" w:rsidP="00467397">
            <w:pPr>
              <w:pStyle w:val="NoSpacing"/>
              <w:spacing w:line="276" w:lineRule="auto"/>
              <w:jc w:val="center"/>
              <w:rPr>
                <w:color w:val="000000"/>
              </w:rPr>
            </w:pPr>
            <w:r w:rsidRPr="0023025D">
              <w:rPr>
                <w:color w:val="000000"/>
              </w:rPr>
              <w:t>0.0001667</w:t>
            </w:r>
            <w:r>
              <w:rPr>
                <w:color w:val="000000"/>
              </w:rPr>
              <w:t>0</w:t>
            </w:r>
          </w:p>
        </w:tc>
        <w:tc>
          <w:tcPr>
            <w:tcW w:w="1193" w:type="dxa"/>
            <w:vAlign w:val="bottom"/>
          </w:tcPr>
          <w:p w:rsidR="00467397" w:rsidRPr="0023025D" w:rsidRDefault="00467397" w:rsidP="00467397">
            <w:pPr>
              <w:pStyle w:val="NoSpacing"/>
              <w:spacing w:line="276" w:lineRule="auto"/>
              <w:jc w:val="center"/>
              <w:rPr>
                <w:color w:val="000000"/>
              </w:rPr>
            </w:pPr>
            <w:r w:rsidRPr="0023025D">
              <w:rPr>
                <w:color w:val="000000"/>
              </w:rPr>
              <w:t>1.134908</w:t>
            </w:r>
          </w:p>
        </w:tc>
        <w:tc>
          <w:tcPr>
            <w:tcW w:w="2195" w:type="dxa"/>
            <w:vAlign w:val="bottom"/>
          </w:tcPr>
          <w:p w:rsidR="00467397" w:rsidRPr="0023025D" w:rsidRDefault="00467397" w:rsidP="00467397">
            <w:pPr>
              <w:pStyle w:val="NoSpacing"/>
              <w:spacing w:line="276" w:lineRule="auto"/>
              <w:jc w:val="center"/>
              <w:rPr>
                <w:color w:val="000000"/>
              </w:rPr>
            </w:pPr>
            <w:r w:rsidRPr="0023025D">
              <w:rPr>
                <w:color w:val="000000"/>
              </w:rPr>
              <w:t>0.000444</w:t>
            </w:r>
          </w:p>
        </w:tc>
      </w:tr>
      <w:tr w:rsidR="00467397" w:rsidRPr="0023025D" w:rsidTr="00467397">
        <w:trPr>
          <w:jc w:val="center"/>
        </w:trPr>
        <w:tc>
          <w:tcPr>
            <w:tcW w:w="526" w:type="dxa"/>
            <w:vAlign w:val="center"/>
          </w:tcPr>
          <w:p w:rsidR="00467397" w:rsidRPr="0023025D" w:rsidRDefault="00467397" w:rsidP="00467397">
            <w:pPr>
              <w:pStyle w:val="NoSpacing"/>
              <w:spacing w:line="276" w:lineRule="auto"/>
              <w:rPr>
                <w:lang w:val="en-US"/>
              </w:rPr>
            </w:pPr>
            <w:r w:rsidRPr="0023025D">
              <w:rPr>
                <w:lang w:val="en-US"/>
              </w:rPr>
              <w:t>6</w:t>
            </w:r>
          </w:p>
        </w:tc>
        <w:tc>
          <w:tcPr>
            <w:tcW w:w="902" w:type="dxa"/>
            <w:vAlign w:val="center"/>
          </w:tcPr>
          <w:p w:rsidR="00467397" w:rsidRPr="0023025D" w:rsidRDefault="00467397" w:rsidP="00467397">
            <w:pPr>
              <w:pStyle w:val="NoSpacing"/>
              <w:spacing w:line="276" w:lineRule="auto"/>
              <w:jc w:val="center"/>
              <w:rPr>
                <w:lang w:val="en-US"/>
              </w:rPr>
            </w:pPr>
            <w:r w:rsidRPr="0023025D">
              <w:rPr>
                <w:lang w:val="en-US"/>
              </w:rPr>
              <w:t>LPKR</w:t>
            </w:r>
          </w:p>
        </w:tc>
        <w:tc>
          <w:tcPr>
            <w:tcW w:w="1261" w:type="dxa"/>
            <w:vAlign w:val="bottom"/>
          </w:tcPr>
          <w:p w:rsidR="00467397" w:rsidRPr="0023025D" w:rsidRDefault="00467397" w:rsidP="00467397">
            <w:pPr>
              <w:pStyle w:val="NoSpacing"/>
              <w:spacing w:line="276" w:lineRule="auto"/>
              <w:jc w:val="center"/>
              <w:rPr>
                <w:color w:val="000000"/>
              </w:rPr>
            </w:pPr>
            <w:r w:rsidRPr="0023025D">
              <w:rPr>
                <w:color w:val="000000"/>
              </w:rPr>
              <w:t>0.00014594</w:t>
            </w:r>
          </w:p>
        </w:tc>
        <w:tc>
          <w:tcPr>
            <w:tcW w:w="1193" w:type="dxa"/>
            <w:vAlign w:val="bottom"/>
          </w:tcPr>
          <w:p w:rsidR="00467397" w:rsidRPr="0023025D" w:rsidRDefault="00467397" w:rsidP="00467397">
            <w:pPr>
              <w:pStyle w:val="NoSpacing"/>
              <w:spacing w:line="276" w:lineRule="auto"/>
              <w:jc w:val="center"/>
              <w:rPr>
                <w:color w:val="000000"/>
              </w:rPr>
            </w:pPr>
            <w:r w:rsidRPr="0023025D">
              <w:rPr>
                <w:color w:val="000000"/>
              </w:rPr>
              <w:t>0.993588</w:t>
            </w:r>
          </w:p>
        </w:tc>
        <w:tc>
          <w:tcPr>
            <w:tcW w:w="2195" w:type="dxa"/>
            <w:vAlign w:val="bottom"/>
          </w:tcPr>
          <w:p w:rsidR="00467397" w:rsidRPr="0023025D" w:rsidRDefault="00467397" w:rsidP="00467397">
            <w:pPr>
              <w:pStyle w:val="NoSpacing"/>
              <w:spacing w:line="276" w:lineRule="auto"/>
              <w:jc w:val="center"/>
              <w:rPr>
                <w:color w:val="000000"/>
              </w:rPr>
            </w:pPr>
            <w:r w:rsidRPr="0023025D">
              <w:rPr>
                <w:color w:val="000000"/>
              </w:rPr>
              <w:t>0.000422</w:t>
            </w:r>
          </w:p>
        </w:tc>
      </w:tr>
      <w:tr w:rsidR="00467397" w:rsidRPr="0023025D" w:rsidTr="00467397">
        <w:trPr>
          <w:jc w:val="center"/>
        </w:trPr>
        <w:tc>
          <w:tcPr>
            <w:tcW w:w="526" w:type="dxa"/>
            <w:vAlign w:val="center"/>
          </w:tcPr>
          <w:p w:rsidR="00467397" w:rsidRPr="0023025D" w:rsidRDefault="00467397" w:rsidP="00467397">
            <w:pPr>
              <w:pStyle w:val="NoSpacing"/>
              <w:spacing w:line="276" w:lineRule="auto"/>
              <w:rPr>
                <w:lang w:val="en-US"/>
              </w:rPr>
            </w:pPr>
            <w:r w:rsidRPr="0023025D">
              <w:rPr>
                <w:lang w:val="en-US"/>
              </w:rPr>
              <w:t>7</w:t>
            </w:r>
          </w:p>
        </w:tc>
        <w:tc>
          <w:tcPr>
            <w:tcW w:w="902" w:type="dxa"/>
            <w:vAlign w:val="center"/>
          </w:tcPr>
          <w:p w:rsidR="00467397" w:rsidRPr="0023025D" w:rsidRDefault="00467397" w:rsidP="00467397">
            <w:pPr>
              <w:pStyle w:val="NoSpacing"/>
              <w:spacing w:line="276" w:lineRule="auto"/>
              <w:jc w:val="center"/>
            </w:pPr>
            <w:r w:rsidRPr="0023025D">
              <w:t>SMGR</w:t>
            </w:r>
          </w:p>
        </w:tc>
        <w:tc>
          <w:tcPr>
            <w:tcW w:w="1261" w:type="dxa"/>
            <w:vAlign w:val="bottom"/>
          </w:tcPr>
          <w:p w:rsidR="00467397" w:rsidRPr="0023025D" w:rsidRDefault="00467397" w:rsidP="00467397">
            <w:pPr>
              <w:pStyle w:val="NoSpacing"/>
              <w:spacing w:line="276" w:lineRule="auto"/>
              <w:jc w:val="center"/>
              <w:rPr>
                <w:color w:val="000000"/>
              </w:rPr>
            </w:pPr>
            <w:r w:rsidRPr="0023025D">
              <w:rPr>
                <w:color w:val="000000"/>
              </w:rPr>
              <w:t>0.00015654</w:t>
            </w:r>
          </w:p>
        </w:tc>
        <w:tc>
          <w:tcPr>
            <w:tcW w:w="1193" w:type="dxa"/>
            <w:vAlign w:val="bottom"/>
          </w:tcPr>
          <w:p w:rsidR="00467397" w:rsidRPr="0023025D" w:rsidRDefault="00467397" w:rsidP="00467397">
            <w:pPr>
              <w:pStyle w:val="NoSpacing"/>
              <w:spacing w:line="276" w:lineRule="auto"/>
              <w:jc w:val="center"/>
              <w:rPr>
                <w:color w:val="000000"/>
              </w:rPr>
            </w:pPr>
            <w:r w:rsidRPr="0023025D">
              <w:rPr>
                <w:color w:val="000000"/>
              </w:rPr>
              <w:t>1.065766</w:t>
            </w:r>
          </w:p>
        </w:tc>
        <w:tc>
          <w:tcPr>
            <w:tcW w:w="2195" w:type="dxa"/>
            <w:vAlign w:val="bottom"/>
          </w:tcPr>
          <w:p w:rsidR="00467397" w:rsidRPr="0023025D" w:rsidRDefault="00467397" w:rsidP="00467397">
            <w:pPr>
              <w:pStyle w:val="NoSpacing"/>
              <w:spacing w:line="276" w:lineRule="auto"/>
              <w:jc w:val="center"/>
              <w:rPr>
                <w:color w:val="000000"/>
              </w:rPr>
            </w:pPr>
            <w:r w:rsidRPr="0023025D">
              <w:rPr>
                <w:color w:val="000000"/>
              </w:rPr>
              <w:t>0.000433</w:t>
            </w:r>
          </w:p>
        </w:tc>
      </w:tr>
      <w:tr w:rsidR="00467397" w:rsidRPr="0023025D" w:rsidTr="00467397">
        <w:trPr>
          <w:jc w:val="center"/>
        </w:trPr>
        <w:tc>
          <w:tcPr>
            <w:tcW w:w="526" w:type="dxa"/>
            <w:vAlign w:val="center"/>
          </w:tcPr>
          <w:p w:rsidR="00467397" w:rsidRPr="0023025D" w:rsidRDefault="00467397" w:rsidP="00467397">
            <w:pPr>
              <w:pStyle w:val="NoSpacing"/>
              <w:spacing w:line="276" w:lineRule="auto"/>
              <w:rPr>
                <w:lang w:val="en-US"/>
              </w:rPr>
            </w:pPr>
            <w:r w:rsidRPr="0023025D">
              <w:rPr>
                <w:lang w:val="en-US"/>
              </w:rPr>
              <w:t>8</w:t>
            </w:r>
          </w:p>
        </w:tc>
        <w:tc>
          <w:tcPr>
            <w:tcW w:w="902" w:type="dxa"/>
            <w:vAlign w:val="center"/>
          </w:tcPr>
          <w:p w:rsidR="00467397" w:rsidRPr="0023025D" w:rsidRDefault="00467397" w:rsidP="00467397">
            <w:pPr>
              <w:pStyle w:val="NoSpacing"/>
              <w:spacing w:line="276" w:lineRule="auto"/>
              <w:jc w:val="center"/>
            </w:pPr>
            <w:r w:rsidRPr="0023025D">
              <w:t>TLKM</w:t>
            </w:r>
          </w:p>
        </w:tc>
        <w:tc>
          <w:tcPr>
            <w:tcW w:w="1261" w:type="dxa"/>
            <w:vAlign w:val="bottom"/>
          </w:tcPr>
          <w:p w:rsidR="00467397" w:rsidRPr="0023025D" w:rsidRDefault="00467397" w:rsidP="00467397">
            <w:pPr>
              <w:pStyle w:val="NoSpacing"/>
              <w:spacing w:line="276" w:lineRule="auto"/>
              <w:jc w:val="center"/>
              <w:rPr>
                <w:color w:val="000000"/>
              </w:rPr>
            </w:pPr>
            <w:r>
              <w:rPr>
                <w:color w:val="000000"/>
              </w:rPr>
              <w:t>0.00009996</w:t>
            </w:r>
          </w:p>
        </w:tc>
        <w:tc>
          <w:tcPr>
            <w:tcW w:w="1193" w:type="dxa"/>
            <w:vAlign w:val="bottom"/>
          </w:tcPr>
          <w:p w:rsidR="00467397" w:rsidRPr="0023025D" w:rsidRDefault="00467397" w:rsidP="00467397">
            <w:pPr>
              <w:pStyle w:val="NoSpacing"/>
              <w:spacing w:line="276" w:lineRule="auto"/>
              <w:jc w:val="center"/>
              <w:rPr>
                <w:color w:val="000000"/>
              </w:rPr>
            </w:pPr>
            <w:r w:rsidRPr="0023025D">
              <w:rPr>
                <w:color w:val="000000"/>
              </w:rPr>
              <w:t>0.680553</w:t>
            </w:r>
          </w:p>
        </w:tc>
        <w:tc>
          <w:tcPr>
            <w:tcW w:w="2195" w:type="dxa"/>
            <w:vAlign w:val="bottom"/>
          </w:tcPr>
          <w:p w:rsidR="00467397" w:rsidRPr="0023025D" w:rsidRDefault="00467397" w:rsidP="00467397">
            <w:pPr>
              <w:pStyle w:val="NoSpacing"/>
              <w:spacing w:line="276" w:lineRule="auto"/>
              <w:jc w:val="center"/>
              <w:rPr>
                <w:color w:val="000000"/>
              </w:rPr>
            </w:pPr>
            <w:r w:rsidRPr="0023025D">
              <w:rPr>
                <w:color w:val="000000"/>
              </w:rPr>
              <w:t>0.000374</w:t>
            </w:r>
          </w:p>
        </w:tc>
      </w:tr>
      <w:tr w:rsidR="00467397" w:rsidRPr="0023025D" w:rsidTr="00467397">
        <w:trPr>
          <w:jc w:val="center"/>
        </w:trPr>
        <w:tc>
          <w:tcPr>
            <w:tcW w:w="526" w:type="dxa"/>
            <w:vAlign w:val="center"/>
          </w:tcPr>
          <w:p w:rsidR="00467397" w:rsidRPr="0023025D" w:rsidRDefault="00467397" w:rsidP="00467397">
            <w:pPr>
              <w:pStyle w:val="NoSpacing"/>
              <w:spacing w:line="276" w:lineRule="auto"/>
              <w:rPr>
                <w:lang w:val="en-US"/>
              </w:rPr>
            </w:pPr>
            <w:r w:rsidRPr="0023025D">
              <w:rPr>
                <w:lang w:val="en-US"/>
              </w:rPr>
              <w:t>9</w:t>
            </w:r>
          </w:p>
        </w:tc>
        <w:tc>
          <w:tcPr>
            <w:tcW w:w="902" w:type="dxa"/>
            <w:vAlign w:val="center"/>
          </w:tcPr>
          <w:p w:rsidR="00467397" w:rsidRPr="0023025D" w:rsidRDefault="00467397" w:rsidP="00467397">
            <w:pPr>
              <w:pStyle w:val="NoSpacing"/>
              <w:spacing w:line="276" w:lineRule="auto"/>
              <w:jc w:val="center"/>
            </w:pPr>
            <w:r w:rsidRPr="0023025D">
              <w:t>UNVR</w:t>
            </w:r>
          </w:p>
        </w:tc>
        <w:tc>
          <w:tcPr>
            <w:tcW w:w="1261" w:type="dxa"/>
            <w:vAlign w:val="bottom"/>
          </w:tcPr>
          <w:p w:rsidR="00467397" w:rsidRPr="0023025D" w:rsidRDefault="00467397" w:rsidP="00467397">
            <w:pPr>
              <w:pStyle w:val="NoSpacing"/>
              <w:spacing w:line="276" w:lineRule="auto"/>
              <w:jc w:val="center"/>
              <w:rPr>
                <w:color w:val="000000"/>
              </w:rPr>
            </w:pPr>
            <w:r w:rsidRPr="0023025D">
              <w:rPr>
                <w:color w:val="000000"/>
              </w:rPr>
              <w:t>0.00012257</w:t>
            </w:r>
          </w:p>
        </w:tc>
        <w:tc>
          <w:tcPr>
            <w:tcW w:w="1193" w:type="dxa"/>
            <w:vAlign w:val="bottom"/>
          </w:tcPr>
          <w:p w:rsidR="00467397" w:rsidRPr="0023025D" w:rsidRDefault="00467397" w:rsidP="00467397">
            <w:pPr>
              <w:pStyle w:val="NoSpacing"/>
              <w:spacing w:line="276" w:lineRule="auto"/>
              <w:jc w:val="center"/>
              <w:rPr>
                <w:color w:val="000000"/>
              </w:rPr>
            </w:pPr>
            <w:r w:rsidRPr="0023025D">
              <w:rPr>
                <w:color w:val="000000"/>
              </w:rPr>
              <w:t>0.83451</w:t>
            </w:r>
            <w:r>
              <w:rPr>
                <w:color w:val="000000"/>
              </w:rPr>
              <w:t>0</w:t>
            </w:r>
          </w:p>
        </w:tc>
        <w:tc>
          <w:tcPr>
            <w:tcW w:w="2195" w:type="dxa"/>
            <w:vAlign w:val="bottom"/>
          </w:tcPr>
          <w:p w:rsidR="00467397" w:rsidRPr="0023025D" w:rsidRDefault="00467397" w:rsidP="00467397">
            <w:pPr>
              <w:pStyle w:val="NoSpacing"/>
              <w:spacing w:line="276" w:lineRule="auto"/>
              <w:jc w:val="center"/>
              <w:rPr>
                <w:color w:val="000000"/>
              </w:rPr>
            </w:pPr>
            <w:r w:rsidRPr="0023025D">
              <w:rPr>
                <w:color w:val="000000"/>
              </w:rPr>
              <w:t>0.000398</w:t>
            </w:r>
          </w:p>
        </w:tc>
      </w:tr>
    </w:tbl>
    <w:p w:rsidR="00321244" w:rsidRDefault="00321244" w:rsidP="00321244">
      <w:pPr>
        <w:pStyle w:val="NoSpacing"/>
        <w:spacing w:line="360" w:lineRule="auto"/>
        <w:ind w:firstLine="720"/>
        <w:jc w:val="both"/>
        <w:rPr>
          <w:rFonts w:eastAsiaTheme="minorHAnsi"/>
          <w:color w:val="000000" w:themeColor="text1"/>
          <w:lang w:val="en-US"/>
        </w:rPr>
      </w:pPr>
    </w:p>
    <w:p w:rsidR="00321244" w:rsidRDefault="00467397" w:rsidP="00321244">
      <w:pPr>
        <w:pStyle w:val="NoSpacing"/>
        <w:spacing w:line="360" w:lineRule="auto"/>
        <w:ind w:firstLine="720"/>
        <w:jc w:val="both"/>
        <w:rPr>
          <w:rFonts w:ascii="Times New Roman" w:hAnsi="Times New Roman"/>
          <w:color w:val="000000" w:themeColor="text1"/>
          <w:sz w:val="24"/>
          <w:szCs w:val="24"/>
          <w:lang w:val="en-US"/>
        </w:rPr>
      </w:pPr>
      <w:proofErr w:type="gramStart"/>
      <w:r w:rsidRPr="00467397">
        <w:rPr>
          <w:rFonts w:ascii="Times New Roman" w:hAnsi="Times New Roman"/>
          <w:color w:val="000000" w:themeColor="text1"/>
          <w:sz w:val="24"/>
          <w:szCs w:val="24"/>
          <w:lang w:val="en-US"/>
        </w:rPr>
        <w:t>Langkah kedua adalah melakukan p</w:t>
      </w:r>
      <w:r w:rsidRPr="00467397">
        <w:rPr>
          <w:rFonts w:ascii="Times New Roman" w:hAnsi="Times New Roman"/>
          <w:color w:val="000000" w:themeColor="text1"/>
          <w:sz w:val="24"/>
          <w:szCs w:val="24"/>
        </w:rPr>
        <w:t xml:space="preserve">erhitungan </w:t>
      </w:r>
      <w:r w:rsidRPr="00467397">
        <w:rPr>
          <w:rFonts w:ascii="Times New Roman" w:hAnsi="Times New Roman"/>
          <w:color w:val="000000" w:themeColor="text1"/>
          <w:sz w:val="24"/>
          <w:szCs w:val="24"/>
          <w:lang w:val="en-US"/>
        </w:rPr>
        <w:t>p</w:t>
      </w:r>
      <w:r w:rsidRPr="00467397">
        <w:rPr>
          <w:rFonts w:ascii="Times New Roman" w:hAnsi="Times New Roman"/>
          <w:color w:val="000000" w:themeColor="text1"/>
          <w:sz w:val="24"/>
          <w:szCs w:val="24"/>
        </w:rPr>
        <w:t xml:space="preserve">roporsi </w:t>
      </w:r>
      <w:r w:rsidRPr="00467397">
        <w:rPr>
          <w:rFonts w:ascii="Times New Roman" w:hAnsi="Times New Roman"/>
          <w:color w:val="000000" w:themeColor="text1"/>
          <w:sz w:val="24"/>
          <w:szCs w:val="24"/>
          <w:lang w:val="en-US"/>
        </w:rPr>
        <w:t>s</w:t>
      </w:r>
      <w:r w:rsidRPr="00467397">
        <w:rPr>
          <w:rFonts w:ascii="Times New Roman" w:hAnsi="Times New Roman"/>
          <w:color w:val="000000" w:themeColor="text1"/>
          <w:sz w:val="24"/>
          <w:szCs w:val="24"/>
        </w:rPr>
        <w:t xml:space="preserve">aham dengan </w:t>
      </w:r>
      <w:r w:rsidRPr="00467397">
        <w:rPr>
          <w:rFonts w:ascii="Times New Roman" w:hAnsi="Times New Roman"/>
          <w:color w:val="000000" w:themeColor="text1"/>
          <w:sz w:val="24"/>
          <w:szCs w:val="24"/>
          <w:lang w:val="en-US"/>
        </w:rPr>
        <w:t>VaR-</w:t>
      </w:r>
      <w:r w:rsidRPr="00467397">
        <w:rPr>
          <w:rFonts w:ascii="Times New Roman" w:hAnsi="Times New Roman"/>
          <w:color w:val="000000" w:themeColor="text1"/>
          <w:sz w:val="24"/>
          <w:szCs w:val="24"/>
        </w:rPr>
        <w:t>CAPM</w:t>
      </w:r>
      <w:r>
        <w:rPr>
          <w:rFonts w:ascii="Times New Roman" w:hAnsi="Times New Roman"/>
          <w:color w:val="000000" w:themeColor="text1"/>
          <w:sz w:val="24"/>
          <w:szCs w:val="24"/>
          <w:lang w:val="en-US"/>
        </w:rPr>
        <w:t>, yaitu menentukan bobot atau proporsi untuk setiap saham</w:t>
      </w:r>
      <w:r w:rsidR="00321244">
        <w:rPr>
          <w:rFonts w:ascii="Times New Roman" w:hAnsi="Times New Roman"/>
          <w:color w:val="000000" w:themeColor="text1"/>
          <w:sz w:val="24"/>
          <w:szCs w:val="24"/>
          <w:lang w:val="en-US"/>
        </w:rPr>
        <w:t>.</w:t>
      </w:r>
      <w:proofErr w:type="gramEnd"/>
      <w:r w:rsidR="00321244">
        <w:rPr>
          <w:rFonts w:ascii="Times New Roman" w:hAnsi="Times New Roman"/>
          <w:color w:val="000000" w:themeColor="text1"/>
          <w:sz w:val="24"/>
          <w:szCs w:val="24"/>
          <w:lang w:val="en-US"/>
        </w:rPr>
        <w:t xml:space="preserve"> Untuk itu dibentuk </w:t>
      </w:r>
      <w:r>
        <w:rPr>
          <w:rFonts w:ascii="Times New Roman" w:hAnsi="Times New Roman"/>
          <w:color w:val="000000" w:themeColor="text1"/>
          <w:sz w:val="24"/>
          <w:szCs w:val="24"/>
        </w:rPr>
        <w:t>matrik varian dan kovarian</w:t>
      </w:r>
      <w:r w:rsidR="00321244">
        <w:rPr>
          <w:rFonts w:ascii="Times New Roman" w:hAnsi="Times New Roman"/>
          <w:color w:val="000000" w:themeColor="text1"/>
          <w:sz w:val="24"/>
          <w:szCs w:val="24"/>
          <w:lang w:val="en-US"/>
        </w:rPr>
        <w:t>, selanjutnya diporleh komposisinya:</w:t>
      </w:r>
    </w:p>
    <w:p w:rsidR="00321244" w:rsidRDefault="00321244" w:rsidP="00321244">
      <w:pPr>
        <w:pStyle w:val="NoSpacing"/>
        <w:spacing w:line="360" w:lineRule="auto"/>
        <w:jc w:val="center"/>
        <w:rPr>
          <w:rFonts w:ascii="Times New Roman" w:hAnsi="Times New Roman"/>
          <w:color w:val="000000" w:themeColor="text1"/>
          <w:sz w:val="24"/>
          <w:szCs w:val="24"/>
          <w:lang w:val="en-US"/>
        </w:rPr>
      </w:pPr>
    </w:p>
    <w:p w:rsidR="00467397" w:rsidRPr="00277166" w:rsidRDefault="00321244" w:rsidP="00321244">
      <w:pPr>
        <w:pStyle w:val="NoSpacing"/>
        <w:spacing w:line="36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lastRenderedPageBreak/>
        <w:t>Tabel 4</w:t>
      </w:r>
      <w:r w:rsidR="00467397">
        <w:rPr>
          <w:rFonts w:ascii="Times New Roman" w:hAnsi="Times New Roman"/>
          <w:color w:val="000000" w:themeColor="text1"/>
          <w:sz w:val="24"/>
          <w:szCs w:val="24"/>
          <w:lang w:val="en-US"/>
        </w:rPr>
        <w:t xml:space="preserve"> Matrik Varian Kovarian 9 Saham Terpilih</w:t>
      </w:r>
    </w:p>
    <w:tbl>
      <w:tblPr>
        <w:tblW w:w="83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931"/>
        <w:gridCol w:w="931"/>
        <w:gridCol w:w="931"/>
        <w:gridCol w:w="931"/>
        <w:gridCol w:w="931"/>
        <w:gridCol w:w="931"/>
        <w:gridCol w:w="931"/>
        <w:gridCol w:w="931"/>
        <w:gridCol w:w="931"/>
      </w:tblGrid>
      <w:tr w:rsidR="00467397" w:rsidRPr="00277166" w:rsidTr="00467397">
        <w:trPr>
          <w:trHeight w:val="300"/>
          <w:jc w:val="center"/>
        </w:trPr>
        <w:tc>
          <w:tcPr>
            <w:tcW w:w="820" w:type="dxa"/>
            <w:shd w:val="clear" w:color="auto" w:fill="F2F2F2" w:themeFill="background1" w:themeFillShade="F2"/>
            <w:noWrap/>
            <w:vAlign w:val="bottom"/>
            <w:hideMark/>
          </w:tcPr>
          <w:p w:rsidR="00467397" w:rsidRPr="00277166" w:rsidRDefault="00467397" w:rsidP="00467397">
            <w:pPr>
              <w:pStyle w:val="NoSpacing"/>
              <w:spacing w:line="276" w:lineRule="auto"/>
              <w:rPr>
                <w:rFonts w:ascii="Times New Roman" w:hAnsi="Times New Roman"/>
                <w:lang w:val="en-US"/>
              </w:rPr>
            </w:pPr>
          </w:p>
        </w:tc>
        <w:tc>
          <w:tcPr>
            <w:tcW w:w="836" w:type="dxa"/>
            <w:shd w:val="clear" w:color="auto" w:fill="F2F2F2" w:themeFill="background1" w:themeFillShade="F2"/>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ASII</w:t>
            </w:r>
          </w:p>
        </w:tc>
        <w:tc>
          <w:tcPr>
            <w:tcW w:w="836" w:type="dxa"/>
            <w:shd w:val="clear" w:color="auto" w:fill="F2F2F2" w:themeFill="background1" w:themeFillShade="F2"/>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ASRI</w:t>
            </w:r>
          </w:p>
        </w:tc>
        <w:tc>
          <w:tcPr>
            <w:tcW w:w="836" w:type="dxa"/>
            <w:shd w:val="clear" w:color="auto" w:fill="F2F2F2" w:themeFill="background1" w:themeFillShade="F2"/>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CPIN</w:t>
            </w:r>
          </w:p>
        </w:tc>
        <w:tc>
          <w:tcPr>
            <w:tcW w:w="836" w:type="dxa"/>
            <w:shd w:val="clear" w:color="auto" w:fill="F2F2F2" w:themeFill="background1" w:themeFillShade="F2"/>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INTP</w:t>
            </w:r>
          </w:p>
        </w:tc>
        <w:tc>
          <w:tcPr>
            <w:tcW w:w="836" w:type="dxa"/>
            <w:shd w:val="clear" w:color="auto" w:fill="F2F2F2" w:themeFill="background1" w:themeFillShade="F2"/>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KLBF</w:t>
            </w:r>
          </w:p>
        </w:tc>
        <w:tc>
          <w:tcPr>
            <w:tcW w:w="836" w:type="dxa"/>
            <w:shd w:val="clear" w:color="auto" w:fill="F2F2F2" w:themeFill="background1" w:themeFillShade="F2"/>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LPKR</w:t>
            </w:r>
          </w:p>
        </w:tc>
        <w:tc>
          <w:tcPr>
            <w:tcW w:w="836" w:type="dxa"/>
            <w:shd w:val="clear" w:color="auto" w:fill="F2F2F2" w:themeFill="background1" w:themeFillShade="F2"/>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SMGR</w:t>
            </w:r>
          </w:p>
        </w:tc>
        <w:tc>
          <w:tcPr>
            <w:tcW w:w="836" w:type="dxa"/>
            <w:shd w:val="clear" w:color="auto" w:fill="F2F2F2" w:themeFill="background1" w:themeFillShade="F2"/>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TLKM</w:t>
            </w:r>
          </w:p>
        </w:tc>
        <w:tc>
          <w:tcPr>
            <w:tcW w:w="836" w:type="dxa"/>
            <w:shd w:val="clear" w:color="auto" w:fill="F2F2F2" w:themeFill="background1" w:themeFillShade="F2"/>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UNVR</w:t>
            </w:r>
          </w:p>
        </w:tc>
      </w:tr>
      <w:tr w:rsidR="00467397" w:rsidRPr="00277166" w:rsidTr="00467397">
        <w:trPr>
          <w:trHeight w:val="300"/>
          <w:jc w:val="center"/>
        </w:trPr>
        <w:tc>
          <w:tcPr>
            <w:tcW w:w="820" w:type="dxa"/>
            <w:shd w:val="clear" w:color="auto" w:fill="F2F2F2" w:themeFill="background1" w:themeFillShade="F2"/>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ASII</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0.00042</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0.00023</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0.00028</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0.00024</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0.00021</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0.00018</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0.00012</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0.00014</w:t>
            </w:r>
          </w:p>
        </w:tc>
      </w:tr>
      <w:tr w:rsidR="00467397" w:rsidRPr="00277166" w:rsidTr="00467397">
        <w:trPr>
          <w:trHeight w:val="300"/>
          <w:jc w:val="center"/>
        </w:trPr>
        <w:tc>
          <w:tcPr>
            <w:tcW w:w="820" w:type="dxa"/>
            <w:shd w:val="clear" w:color="auto" w:fill="F2F2F2" w:themeFill="background1" w:themeFillShade="F2"/>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ASRI</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0.00023</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0.0008</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0.00029</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0.00026</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0.00023</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0.00024</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0.00023</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0.00013</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0.00013</w:t>
            </w:r>
          </w:p>
        </w:tc>
      </w:tr>
      <w:tr w:rsidR="00467397" w:rsidRPr="00277166" w:rsidTr="00467397">
        <w:trPr>
          <w:trHeight w:val="300"/>
          <w:jc w:val="center"/>
        </w:trPr>
        <w:tc>
          <w:tcPr>
            <w:tcW w:w="820" w:type="dxa"/>
            <w:shd w:val="clear" w:color="auto" w:fill="F2F2F2" w:themeFill="background1" w:themeFillShade="F2"/>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CPIN</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0.00028</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0.00029</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0.00082</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0.00031</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0.00028</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0.00023</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0.00025</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0.00012</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0.00018</w:t>
            </w:r>
          </w:p>
        </w:tc>
      </w:tr>
      <w:tr w:rsidR="00467397" w:rsidRPr="00277166" w:rsidTr="00467397">
        <w:trPr>
          <w:trHeight w:val="300"/>
          <w:jc w:val="center"/>
        </w:trPr>
        <w:tc>
          <w:tcPr>
            <w:tcW w:w="820" w:type="dxa"/>
            <w:shd w:val="clear" w:color="auto" w:fill="F2F2F2" w:themeFill="background1" w:themeFillShade="F2"/>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INTP</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0.00024</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0.00026</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0.00031</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0.00057</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0.00024</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0.00032</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0.00013</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0.00015</w:t>
            </w:r>
          </w:p>
        </w:tc>
      </w:tr>
      <w:tr w:rsidR="00467397" w:rsidRPr="00277166" w:rsidTr="00467397">
        <w:trPr>
          <w:trHeight w:val="300"/>
          <w:jc w:val="center"/>
        </w:trPr>
        <w:tc>
          <w:tcPr>
            <w:tcW w:w="820" w:type="dxa"/>
            <w:shd w:val="clear" w:color="auto" w:fill="F2F2F2" w:themeFill="background1" w:themeFillShade="F2"/>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KLBF</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0.00021</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0.00023</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0.00028</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0.00024</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0.00051</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0.00014</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0.00016</w:t>
            </w:r>
          </w:p>
        </w:tc>
      </w:tr>
      <w:tr w:rsidR="00467397" w:rsidRPr="00277166" w:rsidTr="00467397">
        <w:trPr>
          <w:trHeight w:val="300"/>
          <w:jc w:val="center"/>
        </w:trPr>
        <w:tc>
          <w:tcPr>
            <w:tcW w:w="820" w:type="dxa"/>
            <w:shd w:val="clear" w:color="auto" w:fill="F2F2F2" w:themeFill="background1" w:themeFillShade="F2"/>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LPKR</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0.00018</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0.00024</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0.00023</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0.00052</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0.00016</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8.4E-05</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9.5E-05</w:t>
            </w:r>
          </w:p>
        </w:tc>
      </w:tr>
      <w:tr w:rsidR="00467397" w:rsidRPr="00277166" w:rsidTr="00467397">
        <w:trPr>
          <w:trHeight w:val="300"/>
          <w:jc w:val="center"/>
        </w:trPr>
        <w:tc>
          <w:tcPr>
            <w:tcW w:w="820" w:type="dxa"/>
            <w:shd w:val="clear" w:color="auto" w:fill="F2F2F2" w:themeFill="background1" w:themeFillShade="F2"/>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SMGR</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0.00023</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0.00025</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0.00032</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0.0002</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0.00016</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0.00047</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9.9E-05</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0.00012</w:t>
            </w:r>
          </w:p>
        </w:tc>
      </w:tr>
      <w:tr w:rsidR="00467397" w:rsidRPr="00277166" w:rsidTr="00467397">
        <w:trPr>
          <w:trHeight w:val="300"/>
          <w:jc w:val="center"/>
        </w:trPr>
        <w:tc>
          <w:tcPr>
            <w:tcW w:w="820" w:type="dxa"/>
            <w:shd w:val="clear" w:color="auto" w:fill="F2F2F2" w:themeFill="background1" w:themeFillShade="F2"/>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TLKM</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0.00012</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0.00013</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0.00012</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0.00013</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0.00014</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8.4E-05</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9.9E-05</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0.00034</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w:t>
            </w:r>
          </w:p>
        </w:tc>
      </w:tr>
      <w:tr w:rsidR="00467397" w:rsidRPr="00277166" w:rsidTr="00467397">
        <w:trPr>
          <w:trHeight w:val="300"/>
          <w:jc w:val="center"/>
        </w:trPr>
        <w:tc>
          <w:tcPr>
            <w:tcW w:w="820" w:type="dxa"/>
            <w:shd w:val="clear" w:color="auto" w:fill="F2F2F2" w:themeFill="background1" w:themeFillShade="F2"/>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UNVR</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0.00014</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0.00013</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0.00018</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0.00015</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0.00016</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9.5E-05</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0.00012</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0.0001</w:t>
            </w:r>
          </w:p>
        </w:tc>
        <w:tc>
          <w:tcPr>
            <w:tcW w:w="836" w:type="dxa"/>
            <w:shd w:val="clear" w:color="auto" w:fill="auto"/>
            <w:noWrap/>
            <w:vAlign w:val="bottom"/>
            <w:hideMark/>
          </w:tcPr>
          <w:p w:rsidR="00467397" w:rsidRPr="00277166" w:rsidRDefault="00467397" w:rsidP="00467397">
            <w:pPr>
              <w:pStyle w:val="NoSpacing"/>
              <w:spacing w:line="276" w:lineRule="auto"/>
              <w:rPr>
                <w:rFonts w:ascii="Times New Roman" w:hAnsi="Times New Roman"/>
                <w:lang w:val="en-US"/>
              </w:rPr>
            </w:pPr>
            <w:r w:rsidRPr="00277166">
              <w:rPr>
                <w:rFonts w:ascii="Times New Roman" w:hAnsi="Times New Roman"/>
                <w:lang w:val="en-US"/>
              </w:rPr>
              <w:t>0.00051</w:t>
            </w:r>
          </w:p>
        </w:tc>
      </w:tr>
    </w:tbl>
    <w:p w:rsidR="00467397" w:rsidRDefault="00467397" w:rsidP="00467397">
      <w:pPr>
        <w:pStyle w:val="NoSpacing"/>
        <w:ind w:firstLine="720"/>
        <w:jc w:val="both"/>
        <w:rPr>
          <w:rFonts w:ascii="Times New Roman" w:hAnsi="Times New Roman"/>
          <w:color w:val="000000" w:themeColor="text1"/>
          <w:sz w:val="24"/>
          <w:szCs w:val="24"/>
          <w:lang w:val="en-US"/>
        </w:rPr>
      </w:pPr>
    </w:p>
    <w:p w:rsidR="00467397" w:rsidRPr="00277166" w:rsidRDefault="00321244" w:rsidP="00321244">
      <w:pPr>
        <w:pStyle w:val="NoSpacing"/>
        <w:spacing w:line="360" w:lineRule="auto"/>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Tabel 5</w:t>
      </w:r>
      <w:r w:rsidR="00467397">
        <w:rPr>
          <w:rFonts w:ascii="Times New Roman" w:hAnsi="Times New Roman"/>
          <w:color w:val="000000" w:themeColor="text1"/>
          <w:sz w:val="24"/>
          <w:szCs w:val="24"/>
          <w:lang w:val="en-US"/>
        </w:rPr>
        <w:t xml:space="preserve"> Kompos</w:t>
      </w:r>
      <w:r>
        <w:rPr>
          <w:rFonts w:ascii="Times New Roman" w:hAnsi="Times New Roman"/>
          <w:color w:val="000000" w:themeColor="text1"/>
          <w:sz w:val="24"/>
          <w:szCs w:val="24"/>
          <w:lang w:val="en-US"/>
        </w:rPr>
        <w:t>isi Proporsi Optmum Portofolio</w:t>
      </w:r>
    </w:p>
    <w:tbl>
      <w:tblPr>
        <w:tblStyle w:val="TableGrid"/>
        <w:tblW w:w="0" w:type="auto"/>
        <w:jc w:val="center"/>
        <w:tblLook w:val="04A0"/>
      </w:tblPr>
      <w:tblGrid>
        <w:gridCol w:w="945"/>
        <w:gridCol w:w="3231"/>
        <w:gridCol w:w="1665"/>
      </w:tblGrid>
      <w:tr w:rsidR="00467397" w:rsidRPr="004949B3" w:rsidTr="00467397">
        <w:trPr>
          <w:trHeight w:val="516"/>
          <w:jc w:val="center"/>
        </w:trPr>
        <w:tc>
          <w:tcPr>
            <w:tcW w:w="945" w:type="dxa"/>
            <w:shd w:val="clear" w:color="auto" w:fill="BFBFBF" w:themeFill="background1" w:themeFillShade="BF"/>
            <w:vAlign w:val="center"/>
          </w:tcPr>
          <w:p w:rsidR="00467397" w:rsidRPr="004949B3" w:rsidRDefault="00467397" w:rsidP="00467397">
            <w:pPr>
              <w:pStyle w:val="NoSpacing"/>
              <w:spacing w:line="276" w:lineRule="auto"/>
              <w:rPr>
                <w:b/>
              </w:rPr>
            </w:pPr>
            <w:r w:rsidRPr="004949B3">
              <w:rPr>
                <w:b/>
              </w:rPr>
              <w:t>Kode</w:t>
            </w:r>
          </w:p>
        </w:tc>
        <w:tc>
          <w:tcPr>
            <w:tcW w:w="3231" w:type="dxa"/>
            <w:shd w:val="clear" w:color="auto" w:fill="BFBFBF" w:themeFill="background1" w:themeFillShade="BF"/>
            <w:vAlign w:val="center"/>
          </w:tcPr>
          <w:p w:rsidR="00467397" w:rsidRPr="004949B3" w:rsidRDefault="00467397" w:rsidP="00467397">
            <w:pPr>
              <w:pStyle w:val="NoSpacing"/>
              <w:spacing w:line="276" w:lineRule="auto"/>
              <w:rPr>
                <w:b/>
              </w:rPr>
            </w:pPr>
            <w:r w:rsidRPr="004949B3">
              <w:rPr>
                <w:b/>
              </w:rPr>
              <w:t>Nama Emiten</w:t>
            </w:r>
          </w:p>
        </w:tc>
        <w:tc>
          <w:tcPr>
            <w:tcW w:w="1665" w:type="dxa"/>
            <w:shd w:val="clear" w:color="auto" w:fill="BFBFBF" w:themeFill="background1" w:themeFillShade="BF"/>
            <w:vAlign w:val="center"/>
          </w:tcPr>
          <w:p w:rsidR="00467397" w:rsidRPr="004949B3" w:rsidRDefault="00467397" w:rsidP="00467397">
            <w:pPr>
              <w:pStyle w:val="NoSpacing"/>
              <w:spacing w:line="276" w:lineRule="auto"/>
              <w:rPr>
                <w:rFonts w:eastAsia="Calibri"/>
                <w:b/>
                <w:lang w:val="en-US"/>
              </w:rPr>
            </w:pPr>
            <w:r w:rsidRPr="004949B3">
              <w:rPr>
                <w:rFonts w:eastAsia="Calibri"/>
                <w:b/>
                <w:lang w:val="en-US"/>
              </w:rPr>
              <w:t>Komposisi (%)</w:t>
            </w:r>
          </w:p>
        </w:tc>
      </w:tr>
      <w:tr w:rsidR="00467397" w:rsidRPr="0023025D" w:rsidTr="00467397">
        <w:trPr>
          <w:jc w:val="center"/>
        </w:trPr>
        <w:tc>
          <w:tcPr>
            <w:tcW w:w="945" w:type="dxa"/>
            <w:vAlign w:val="center"/>
          </w:tcPr>
          <w:p w:rsidR="00467397" w:rsidRPr="0023025D" w:rsidRDefault="00467397" w:rsidP="00467397">
            <w:pPr>
              <w:pStyle w:val="NoSpacing"/>
              <w:spacing w:line="276" w:lineRule="auto"/>
            </w:pPr>
            <w:r w:rsidRPr="0023025D">
              <w:t>ASII</w:t>
            </w:r>
          </w:p>
        </w:tc>
        <w:tc>
          <w:tcPr>
            <w:tcW w:w="3231" w:type="dxa"/>
            <w:vAlign w:val="center"/>
          </w:tcPr>
          <w:p w:rsidR="00467397" w:rsidRPr="0023025D" w:rsidRDefault="00467397" w:rsidP="00467397">
            <w:pPr>
              <w:pStyle w:val="NoSpacing"/>
              <w:spacing w:line="276" w:lineRule="auto"/>
            </w:pPr>
            <w:r w:rsidRPr="0023025D">
              <w:t>Astra International tbk</w:t>
            </w:r>
          </w:p>
        </w:tc>
        <w:tc>
          <w:tcPr>
            <w:tcW w:w="1665" w:type="dxa"/>
            <w:vAlign w:val="bottom"/>
          </w:tcPr>
          <w:p w:rsidR="00467397" w:rsidRPr="00924BD1" w:rsidRDefault="00467397" w:rsidP="00467397">
            <w:pPr>
              <w:pStyle w:val="NoSpacing"/>
              <w:spacing w:line="276" w:lineRule="auto"/>
              <w:jc w:val="center"/>
              <w:rPr>
                <w:color w:val="000000"/>
              </w:rPr>
            </w:pPr>
            <w:r w:rsidRPr="00924BD1">
              <w:rPr>
                <w:color w:val="000000"/>
              </w:rPr>
              <w:t>23.18</w:t>
            </w:r>
          </w:p>
        </w:tc>
      </w:tr>
      <w:tr w:rsidR="00467397" w:rsidRPr="0023025D" w:rsidTr="00467397">
        <w:trPr>
          <w:jc w:val="center"/>
        </w:trPr>
        <w:tc>
          <w:tcPr>
            <w:tcW w:w="945" w:type="dxa"/>
            <w:vAlign w:val="center"/>
          </w:tcPr>
          <w:p w:rsidR="00467397" w:rsidRPr="0023025D" w:rsidRDefault="00467397" w:rsidP="00467397">
            <w:pPr>
              <w:pStyle w:val="NoSpacing"/>
              <w:spacing w:line="276" w:lineRule="auto"/>
              <w:rPr>
                <w:lang w:val="en-US"/>
              </w:rPr>
            </w:pPr>
            <w:r w:rsidRPr="0023025D">
              <w:rPr>
                <w:lang w:val="en-US"/>
              </w:rPr>
              <w:t>ASRI</w:t>
            </w:r>
          </w:p>
        </w:tc>
        <w:tc>
          <w:tcPr>
            <w:tcW w:w="3231" w:type="dxa"/>
            <w:vAlign w:val="center"/>
          </w:tcPr>
          <w:p w:rsidR="00467397" w:rsidRPr="0023025D" w:rsidRDefault="00467397" w:rsidP="00467397">
            <w:pPr>
              <w:pStyle w:val="NoSpacing"/>
              <w:spacing w:line="276" w:lineRule="auto"/>
            </w:pPr>
            <w:r w:rsidRPr="0023025D">
              <w:rPr>
                <w:lang w:val="en-US"/>
              </w:rPr>
              <w:t>Alam Sutera Realty</w:t>
            </w:r>
            <w:r w:rsidRPr="0023025D">
              <w:t xml:space="preserve"> tbk</w:t>
            </w:r>
          </w:p>
        </w:tc>
        <w:tc>
          <w:tcPr>
            <w:tcW w:w="1665" w:type="dxa"/>
            <w:vAlign w:val="bottom"/>
          </w:tcPr>
          <w:p w:rsidR="00467397" w:rsidRPr="00924BD1" w:rsidRDefault="00467397" w:rsidP="00467397">
            <w:pPr>
              <w:pStyle w:val="NoSpacing"/>
              <w:spacing w:line="276" w:lineRule="auto"/>
              <w:jc w:val="center"/>
              <w:rPr>
                <w:color w:val="000000"/>
              </w:rPr>
            </w:pPr>
            <w:r w:rsidRPr="00924BD1">
              <w:rPr>
                <w:color w:val="000000"/>
              </w:rPr>
              <w:t>6.12</w:t>
            </w:r>
          </w:p>
        </w:tc>
      </w:tr>
      <w:tr w:rsidR="00467397" w:rsidRPr="0023025D" w:rsidTr="00467397">
        <w:trPr>
          <w:jc w:val="center"/>
        </w:trPr>
        <w:tc>
          <w:tcPr>
            <w:tcW w:w="945" w:type="dxa"/>
            <w:vAlign w:val="center"/>
          </w:tcPr>
          <w:p w:rsidR="00467397" w:rsidRPr="0023025D" w:rsidRDefault="00467397" w:rsidP="00467397">
            <w:pPr>
              <w:pStyle w:val="NoSpacing"/>
              <w:spacing w:line="276" w:lineRule="auto"/>
              <w:rPr>
                <w:lang w:val="en-US"/>
              </w:rPr>
            </w:pPr>
            <w:r w:rsidRPr="0023025D">
              <w:rPr>
                <w:lang w:val="en-US"/>
              </w:rPr>
              <w:t>CPIN</w:t>
            </w:r>
          </w:p>
        </w:tc>
        <w:tc>
          <w:tcPr>
            <w:tcW w:w="3231" w:type="dxa"/>
            <w:vAlign w:val="center"/>
          </w:tcPr>
          <w:p w:rsidR="00467397" w:rsidRPr="0023025D" w:rsidRDefault="00467397" w:rsidP="00467397">
            <w:pPr>
              <w:pStyle w:val="NoSpacing"/>
              <w:spacing w:line="276" w:lineRule="auto"/>
            </w:pPr>
            <w:r w:rsidRPr="0023025D">
              <w:rPr>
                <w:lang w:val="en-US"/>
              </w:rPr>
              <w:t xml:space="preserve">Charoen Pokphand Indonesia </w:t>
            </w:r>
            <w:r w:rsidRPr="0023025D">
              <w:t xml:space="preserve"> tbk</w:t>
            </w:r>
          </w:p>
        </w:tc>
        <w:tc>
          <w:tcPr>
            <w:tcW w:w="1665" w:type="dxa"/>
            <w:vAlign w:val="bottom"/>
          </w:tcPr>
          <w:p w:rsidR="00467397" w:rsidRPr="00924BD1" w:rsidRDefault="00467397" w:rsidP="00467397">
            <w:pPr>
              <w:pStyle w:val="NoSpacing"/>
              <w:spacing w:line="276" w:lineRule="auto"/>
              <w:jc w:val="center"/>
              <w:rPr>
                <w:color w:val="000000"/>
              </w:rPr>
            </w:pPr>
            <w:r w:rsidRPr="00924BD1">
              <w:rPr>
                <w:color w:val="000000"/>
              </w:rPr>
              <w:t>11.07</w:t>
            </w:r>
          </w:p>
        </w:tc>
      </w:tr>
      <w:tr w:rsidR="00467397" w:rsidRPr="0023025D" w:rsidTr="00467397">
        <w:trPr>
          <w:jc w:val="center"/>
        </w:trPr>
        <w:tc>
          <w:tcPr>
            <w:tcW w:w="945" w:type="dxa"/>
            <w:vAlign w:val="center"/>
          </w:tcPr>
          <w:p w:rsidR="00467397" w:rsidRPr="0023025D" w:rsidRDefault="00467397" w:rsidP="00467397">
            <w:pPr>
              <w:pStyle w:val="NoSpacing"/>
              <w:spacing w:line="276" w:lineRule="auto"/>
            </w:pPr>
            <w:r w:rsidRPr="0023025D">
              <w:t>INTP</w:t>
            </w:r>
          </w:p>
        </w:tc>
        <w:tc>
          <w:tcPr>
            <w:tcW w:w="3231" w:type="dxa"/>
            <w:vAlign w:val="center"/>
          </w:tcPr>
          <w:p w:rsidR="00467397" w:rsidRPr="0023025D" w:rsidRDefault="00467397" w:rsidP="00467397">
            <w:pPr>
              <w:pStyle w:val="NoSpacing"/>
              <w:spacing w:line="276" w:lineRule="auto"/>
            </w:pPr>
            <w:r w:rsidRPr="0023025D">
              <w:t>Indocement Tunggal Prakarsa tbk</w:t>
            </w:r>
          </w:p>
        </w:tc>
        <w:tc>
          <w:tcPr>
            <w:tcW w:w="1665" w:type="dxa"/>
            <w:vAlign w:val="bottom"/>
          </w:tcPr>
          <w:p w:rsidR="00467397" w:rsidRPr="00924BD1" w:rsidRDefault="00467397" w:rsidP="00467397">
            <w:pPr>
              <w:pStyle w:val="NoSpacing"/>
              <w:spacing w:line="276" w:lineRule="auto"/>
              <w:jc w:val="center"/>
              <w:rPr>
                <w:color w:val="000000"/>
              </w:rPr>
            </w:pPr>
            <w:r w:rsidRPr="00924BD1">
              <w:rPr>
                <w:color w:val="000000"/>
              </w:rPr>
              <w:t>14.13</w:t>
            </w:r>
          </w:p>
        </w:tc>
      </w:tr>
      <w:tr w:rsidR="00467397" w:rsidRPr="0023025D" w:rsidTr="00467397">
        <w:trPr>
          <w:jc w:val="center"/>
        </w:trPr>
        <w:tc>
          <w:tcPr>
            <w:tcW w:w="945" w:type="dxa"/>
            <w:vAlign w:val="center"/>
          </w:tcPr>
          <w:p w:rsidR="00467397" w:rsidRPr="0023025D" w:rsidRDefault="00467397" w:rsidP="00467397">
            <w:pPr>
              <w:pStyle w:val="NoSpacing"/>
              <w:spacing w:line="276" w:lineRule="auto"/>
            </w:pPr>
            <w:r w:rsidRPr="0023025D">
              <w:t>KLBF</w:t>
            </w:r>
          </w:p>
        </w:tc>
        <w:tc>
          <w:tcPr>
            <w:tcW w:w="3231" w:type="dxa"/>
            <w:vAlign w:val="center"/>
          </w:tcPr>
          <w:p w:rsidR="00467397" w:rsidRPr="0023025D" w:rsidRDefault="00467397" w:rsidP="00467397">
            <w:pPr>
              <w:pStyle w:val="NoSpacing"/>
              <w:spacing w:line="276" w:lineRule="auto"/>
            </w:pPr>
            <w:r w:rsidRPr="0023025D">
              <w:t>Kalbe Farma tbk</w:t>
            </w:r>
          </w:p>
        </w:tc>
        <w:tc>
          <w:tcPr>
            <w:tcW w:w="1665" w:type="dxa"/>
            <w:vAlign w:val="bottom"/>
          </w:tcPr>
          <w:p w:rsidR="00467397" w:rsidRPr="00924BD1" w:rsidRDefault="00467397" w:rsidP="00467397">
            <w:pPr>
              <w:pStyle w:val="NoSpacing"/>
              <w:spacing w:line="276" w:lineRule="auto"/>
              <w:jc w:val="center"/>
              <w:rPr>
                <w:color w:val="000000"/>
              </w:rPr>
            </w:pPr>
            <w:r w:rsidRPr="00924BD1">
              <w:rPr>
                <w:color w:val="000000"/>
              </w:rPr>
              <w:t>8.83</w:t>
            </w:r>
          </w:p>
        </w:tc>
      </w:tr>
      <w:tr w:rsidR="00467397" w:rsidRPr="0023025D" w:rsidTr="00467397">
        <w:trPr>
          <w:jc w:val="center"/>
        </w:trPr>
        <w:tc>
          <w:tcPr>
            <w:tcW w:w="945" w:type="dxa"/>
            <w:vAlign w:val="center"/>
          </w:tcPr>
          <w:p w:rsidR="00467397" w:rsidRPr="0023025D" w:rsidRDefault="00467397" w:rsidP="00467397">
            <w:pPr>
              <w:pStyle w:val="NoSpacing"/>
              <w:spacing w:line="276" w:lineRule="auto"/>
              <w:rPr>
                <w:lang w:val="en-US"/>
              </w:rPr>
            </w:pPr>
            <w:r w:rsidRPr="0023025D">
              <w:rPr>
                <w:lang w:val="en-US"/>
              </w:rPr>
              <w:t>LPKR</w:t>
            </w:r>
          </w:p>
        </w:tc>
        <w:tc>
          <w:tcPr>
            <w:tcW w:w="3231" w:type="dxa"/>
            <w:vAlign w:val="center"/>
          </w:tcPr>
          <w:p w:rsidR="00467397" w:rsidRPr="0023025D" w:rsidRDefault="00467397" w:rsidP="00467397">
            <w:pPr>
              <w:pStyle w:val="NoSpacing"/>
              <w:spacing w:line="276" w:lineRule="auto"/>
              <w:rPr>
                <w:lang w:val="en-US"/>
              </w:rPr>
            </w:pPr>
            <w:r w:rsidRPr="0023025D">
              <w:rPr>
                <w:lang w:val="en-US"/>
              </w:rPr>
              <w:t>Lippo Karawaci tbk</w:t>
            </w:r>
          </w:p>
        </w:tc>
        <w:tc>
          <w:tcPr>
            <w:tcW w:w="1665" w:type="dxa"/>
            <w:vAlign w:val="bottom"/>
          </w:tcPr>
          <w:p w:rsidR="00467397" w:rsidRPr="00924BD1" w:rsidRDefault="00467397" w:rsidP="00467397">
            <w:pPr>
              <w:pStyle w:val="NoSpacing"/>
              <w:spacing w:line="276" w:lineRule="auto"/>
              <w:jc w:val="center"/>
              <w:rPr>
                <w:color w:val="000000"/>
              </w:rPr>
            </w:pPr>
            <w:r w:rsidRPr="00924BD1">
              <w:rPr>
                <w:color w:val="000000"/>
              </w:rPr>
              <w:t>9.65</w:t>
            </w:r>
          </w:p>
        </w:tc>
      </w:tr>
      <w:tr w:rsidR="00467397" w:rsidRPr="0023025D" w:rsidTr="00467397">
        <w:trPr>
          <w:jc w:val="center"/>
        </w:trPr>
        <w:tc>
          <w:tcPr>
            <w:tcW w:w="945" w:type="dxa"/>
            <w:vAlign w:val="center"/>
          </w:tcPr>
          <w:p w:rsidR="00467397" w:rsidRPr="0023025D" w:rsidRDefault="00467397" w:rsidP="00467397">
            <w:pPr>
              <w:pStyle w:val="NoSpacing"/>
              <w:spacing w:line="276" w:lineRule="auto"/>
            </w:pPr>
            <w:r w:rsidRPr="0023025D">
              <w:t>SMGR</w:t>
            </w:r>
          </w:p>
        </w:tc>
        <w:tc>
          <w:tcPr>
            <w:tcW w:w="3231" w:type="dxa"/>
            <w:vAlign w:val="center"/>
          </w:tcPr>
          <w:p w:rsidR="00467397" w:rsidRPr="0023025D" w:rsidRDefault="00467397" w:rsidP="00467397">
            <w:pPr>
              <w:pStyle w:val="NoSpacing"/>
              <w:spacing w:line="276" w:lineRule="auto"/>
            </w:pPr>
            <w:r w:rsidRPr="0023025D">
              <w:t>Semen Gresik (Persero) tbk</w:t>
            </w:r>
          </w:p>
        </w:tc>
        <w:tc>
          <w:tcPr>
            <w:tcW w:w="1665" w:type="dxa"/>
            <w:vAlign w:val="bottom"/>
          </w:tcPr>
          <w:p w:rsidR="00467397" w:rsidRPr="00924BD1" w:rsidRDefault="00467397" w:rsidP="00467397">
            <w:pPr>
              <w:pStyle w:val="NoSpacing"/>
              <w:spacing w:line="276" w:lineRule="auto"/>
              <w:jc w:val="center"/>
              <w:rPr>
                <w:color w:val="000000"/>
              </w:rPr>
            </w:pPr>
            <w:r w:rsidRPr="00924BD1">
              <w:rPr>
                <w:color w:val="000000"/>
              </w:rPr>
              <w:t>7.</w:t>
            </w:r>
            <w:r>
              <w:rPr>
                <w:color w:val="000000"/>
              </w:rPr>
              <w:t>10</w:t>
            </w:r>
          </w:p>
        </w:tc>
      </w:tr>
      <w:tr w:rsidR="00467397" w:rsidRPr="0023025D" w:rsidTr="00467397">
        <w:trPr>
          <w:jc w:val="center"/>
        </w:trPr>
        <w:tc>
          <w:tcPr>
            <w:tcW w:w="945" w:type="dxa"/>
            <w:vAlign w:val="center"/>
          </w:tcPr>
          <w:p w:rsidR="00467397" w:rsidRPr="0023025D" w:rsidRDefault="00467397" w:rsidP="00467397">
            <w:pPr>
              <w:pStyle w:val="NoSpacing"/>
              <w:spacing w:line="276" w:lineRule="auto"/>
            </w:pPr>
            <w:r w:rsidRPr="0023025D">
              <w:t>TLKM</w:t>
            </w:r>
          </w:p>
        </w:tc>
        <w:tc>
          <w:tcPr>
            <w:tcW w:w="3231" w:type="dxa"/>
            <w:vAlign w:val="center"/>
          </w:tcPr>
          <w:p w:rsidR="00467397" w:rsidRPr="0023025D" w:rsidRDefault="00467397" w:rsidP="00467397">
            <w:pPr>
              <w:pStyle w:val="NoSpacing"/>
              <w:spacing w:line="276" w:lineRule="auto"/>
            </w:pPr>
            <w:r w:rsidRPr="0023025D">
              <w:t>Telekomunikasi Indonesia tbk</w:t>
            </w:r>
          </w:p>
        </w:tc>
        <w:tc>
          <w:tcPr>
            <w:tcW w:w="1665" w:type="dxa"/>
            <w:vAlign w:val="bottom"/>
          </w:tcPr>
          <w:p w:rsidR="00467397" w:rsidRPr="00924BD1" w:rsidRDefault="00467397" w:rsidP="00467397">
            <w:pPr>
              <w:pStyle w:val="NoSpacing"/>
              <w:spacing w:line="276" w:lineRule="auto"/>
              <w:jc w:val="center"/>
              <w:rPr>
                <w:color w:val="000000"/>
              </w:rPr>
            </w:pPr>
            <w:r w:rsidRPr="00924BD1">
              <w:rPr>
                <w:color w:val="000000"/>
              </w:rPr>
              <w:t>9.</w:t>
            </w:r>
            <w:r>
              <w:rPr>
                <w:color w:val="000000"/>
              </w:rPr>
              <w:t>90</w:t>
            </w:r>
          </w:p>
        </w:tc>
      </w:tr>
      <w:tr w:rsidR="00467397" w:rsidRPr="0023025D" w:rsidTr="00467397">
        <w:trPr>
          <w:jc w:val="center"/>
        </w:trPr>
        <w:tc>
          <w:tcPr>
            <w:tcW w:w="945" w:type="dxa"/>
            <w:vAlign w:val="center"/>
          </w:tcPr>
          <w:p w:rsidR="00467397" w:rsidRPr="0023025D" w:rsidRDefault="00467397" w:rsidP="00467397">
            <w:pPr>
              <w:pStyle w:val="NoSpacing"/>
              <w:spacing w:line="276" w:lineRule="auto"/>
            </w:pPr>
            <w:r w:rsidRPr="0023025D">
              <w:t>UNVR</w:t>
            </w:r>
          </w:p>
        </w:tc>
        <w:tc>
          <w:tcPr>
            <w:tcW w:w="3231" w:type="dxa"/>
            <w:vAlign w:val="center"/>
          </w:tcPr>
          <w:p w:rsidR="00467397" w:rsidRPr="0023025D" w:rsidRDefault="00467397" w:rsidP="00467397">
            <w:pPr>
              <w:pStyle w:val="NoSpacing"/>
              <w:spacing w:line="276" w:lineRule="auto"/>
            </w:pPr>
            <w:r w:rsidRPr="0023025D">
              <w:t>Unilever Indonesia tbk</w:t>
            </w:r>
          </w:p>
        </w:tc>
        <w:tc>
          <w:tcPr>
            <w:tcW w:w="1665" w:type="dxa"/>
            <w:vAlign w:val="bottom"/>
          </w:tcPr>
          <w:p w:rsidR="00467397" w:rsidRPr="00924BD1" w:rsidRDefault="00467397" w:rsidP="00467397">
            <w:pPr>
              <w:pStyle w:val="NoSpacing"/>
              <w:spacing w:line="276" w:lineRule="auto"/>
              <w:jc w:val="center"/>
              <w:rPr>
                <w:color w:val="000000"/>
              </w:rPr>
            </w:pPr>
            <w:r w:rsidRPr="00924BD1">
              <w:rPr>
                <w:color w:val="000000"/>
              </w:rPr>
              <w:t>10.</w:t>
            </w:r>
            <w:r>
              <w:rPr>
                <w:color w:val="000000"/>
              </w:rPr>
              <w:t>10</w:t>
            </w:r>
          </w:p>
        </w:tc>
      </w:tr>
    </w:tbl>
    <w:p w:rsidR="00467397" w:rsidRDefault="00467397" w:rsidP="00467397">
      <w:pPr>
        <w:pStyle w:val="NoSpacing"/>
        <w:spacing w:line="360" w:lineRule="auto"/>
        <w:ind w:firstLine="720"/>
        <w:jc w:val="both"/>
        <w:rPr>
          <w:rFonts w:ascii="Times New Roman" w:hAnsi="Times New Roman"/>
          <w:sz w:val="24"/>
          <w:szCs w:val="24"/>
          <w:lang w:val="en-US"/>
        </w:rPr>
      </w:pPr>
    </w:p>
    <w:p w:rsidR="00321244" w:rsidRDefault="00321244" w:rsidP="00321244">
      <w:pPr>
        <w:pStyle w:val="NoSpacing"/>
        <w:spacing w:line="360" w:lineRule="auto"/>
        <w:jc w:val="both"/>
        <w:rPr>
          <w:rFonts w:ascii="Times New Roman" w:hAnsi="Times New Roman"/>
          <w:b/>
          <w:sz w:val="24"/>
          <w:szCs w:val="24"/>
          <w:lang w:val="en-US"/>
        </w:rPr>
      </w:pPr>
      <w:r>
        <w:rPr>
          <w:rFonts w:ascii="Times New Roman" w:hAnsi="Times New Roman"/>
          <w:b/>
          <w:sz w:val="24"/>
          <w:szCs w:val="24"/>
          <w:lang w:val="en-US"/>
        </w:rPr>
        <w:t>4</w:t>
      </w:r>
      <w:r w:rsidRPr="006F6DEE">
        <w:rPr>
          <w:rFonts w:ascii="Times New Roman" w:hAnsi="Times New Roman"/>
          <w:b/>
          <w:sz w:val="24"/>
          <w:szCs w:val="24"/>
        </w:rPr>
        <w:t>.</w:t>
      </w:r>
      <w:r>
        <w:rPr>
          <w:rFonts w:ascii="Times New Roman" w:hAnsi="Times New Roman"/>
          <w:b/>
          <w:sz w:val="24"/>
          <w:szCs w:val="24"/>
          <w:lang w:val="en-US"/>
        </w:rPr>
        <w:t>3</w:t>
      </w:r>
      <w:r w:rsidRPr="006F6DEE">
        <w:rPr>
          <w:rFonts w:ascii="Times New Roman" w:hAnsi="Times New Roman"/>
          <w:b/>
          <w:sz w:val="24"/>
          <w:szCs w:val="24"/>
        </w:rPr>
        <w:t xml:space="preserve"> </w:t>
      </w:r>
      <w:r>
        <w:rPr>
          <w:rFonts w:ascii="Times New Roman" w:hAnsi="Times New Roman"/>
          <w:b/>
          <w:sz w:val="24"/>
          <w:szCs w:val="24"/>
          <w:lang w:val="en-US"/>
        </w:rPr>
        <w:t>Perhitungan Nilai Return dan VaR Portofolio</w:t>
      </w:r>
    </w:p>
    <w:p w:rsidR="003E4009" w:rsidRPr="003E4009" w:rsidRDefault="00321244" w:rsidP="003E4009">
      <w:pPr>
        <w:pStyle w:val="NoSpacing"/>
        <w:spacing w:line="360" w:lineRule="auto"/>
        <w:ind w:firstLine="720"/>
        <w:jc w:val="both"/>
        <w:rPr>
          <w:rFonts w:ascii="Times New Roman" w:hAnsi="Times New Roman"/>
          <w:sz w:val="24"/>
          <w:szCs w:val="24"/>
          <w:lang w:val="en-US"/>
        </w:rPr>
      </w:pPr>
      <w:r>
        <w:rPr>
          <w:rFonts w:ascii="Times New Roman" w:hAnsi="Times New Roman"/>
          <w:sz w:val="24"/>
          <w:szCs w:val="24"/>
          <w:lang w:val="en-US"/>
        </w:rPr>
        <w:t>Setelah proporsi setiap saham diketahui, maka dapat dihiting nilai return dan VaR portofolio</w:t>
      </w:r>
      <w:r w:rsidR="003E4009">
        <w:rPr>
          <w:rFonts w:ascii="Times New Roman" w:hAnsi="Times New Roman"/>
          <w:sz w:val="24"/>
          <w:szCs w:val="24"/>
          <w:lang w:val="en-US"/>
        </w:rPr>
        <w:t xml:space="preserve"> dengan proses yang </w:t>
      </w:r>
      <w:proofErr w:type="gramStart"/>
      <w:r w:rsidR="003E4009">
        <w:rPr>
          <w:rFonts w:ascii="Times New Roman" w:hAnsi="Times New Roman"/>
          <w:sz w:val="24"/>
          <w:szCs w:val="24"/>
          <w:lang w:val="en-US"/>
        </w:rPr>
        <w:t>sama</w:t>
      </w:r>
      <w:proofErr w:type="gramEnd"/>
      <w:r w:rsidR="003E4009">
        <w:rPr>
          <w:rFonts w:ascii="Times New Roman" w:hAnsi="Times New Roman"/>
          <w:sz w:val="24"/>
          <w:szCs w:val="24"/>
          <w:lang w:val="en-US"/>
        </w:rPr>
        <w:t xml:space="preserve"> seperti di atas, berikut hasilnya:</w:t>
      </w:r>
    </w:p>
    <w:p w:rsidR="003E4009" w:rsidRPr="00C822A1" w:rsidRDefault="003E4009" w:rsidP="003E4009">
      <w:pPr>
        <w:autoSpaceDE w:val="0"/>
        <w:autoSpaceDN w:val="0"/>
        <w:adjustRightInd w:val="0"/>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Tabel 6</w:t>
      </w:r>
      <w:r w:rsidRPr="00D07B84">
        <w:rPr>
          <w:rFonts w:ascii="Times New Roman" w:hAnsi="Times New Roman"/>
          <w:color w:val="000000" w:themeColor="text1"/>
          <w:sz w:val="24"/>
          <w:szCs w:val="24"/>
          <w:lang w:val="en-US"/>
        </w:rPr>
        <w:t xml:space="preserve"> Hasil Perhitungan</w:t>
      </w:r>
      <w:r>
        <w:rPr>
          <w:rFonts w:ascii="Times New Roman" w:hAnsi="Times New Roman"/>
          <w:color w:val="000000" w:themeColor="text1"/>
          <w:sz w:val="24"/>
          <w:szCs w:val="24"/>
          <w:lang w:val="en-US"/>
        </w:rPr>
        <w:t xml:space="preserve"> nilai Return dan VaR 95% Por</w:t>
      </w:r>
      <w:r>
        <w:rPr>
          <w:rFonts w:ascii="Times New Roman" w:hAnsi="Times New Roman"/>
          <w:lang w:val="en-US"/>
        </w:rPr>
        <w:t>tofolio</w:t>
      </w:r>
    </w:p>
    <w:tbl>
      <w:tblPr>
        <w:tblStyle w:val="TableGrid"/>
        <w:tblW w:w="0" w:type="auto"/>
        <w:jc w:val="center"/>
        <w:tblLook w:val="04A0"/>
      </w:tblPr>
      <w:tblGrid>
        <w:gridCol w:w="742"/>
        <w:gridCol w:w="1542"/>
        <w:gridCol w:w="1139"/>
        <w:gridCol w:w="1311"/>
      </w:tblGrid>
      <w:tr w:rsidR="003E4009" w:rsidRPr="004949B3" w:rsidTr="008E649F">
        <w:trPr>
          <w:trHeight w:val="173"/>
          <w:jc w:val="center"/>
        </w:trPr>
        <w:tc>
          <w:tcPr>
            <w:tcW w:w="742" w:type="dxa"/>
            <w:vMerge w:val="restart"/>
            <w:shd w:val="clear" w:color="auto" w:fill="BFBFBF" w:themeFill="background1" w:themeFillShade="BF"/>
            <w:vAlign w:val="center"/>
          </w:tcPr>
          <w:p w:rsidR="003E4009" w:rsidRPr="004949B3" w:rsidRDefault="003E4009" w:rsidP="008E649F">
            <w:pPr>
              <w:pStyle w:val="NoSpacing"/>
              <w:spacing w:line="276" w:lineRule="auto"/>
              <w:rPr>
                <w:b/>
              </w:rPr>
            </w:pPr>
            <w:r w:rsidRPr="004949B3">
              <w:rPr>
                <w:b/>
              </w:rPr>
              <w:t>Kode</w:t>
            </w:r>
          </w:p>
        </w:tc>
        <w:tc>
          <w:tcPr>
            <w:tcW w:w="1542" w:type="dxa"/>
            <w:vMerge w:val="restart"/>
            <w:shd w:val="clear" w:color="auto" w:fill="BFBFBF" w:themeFill="background1" w:themeFillShade="BF"/>
            <w:vAlign w:val="center"/>
          </w:tcPr>
          <w:p w:rsidR="003E4009" w:rsidRPr="004949B3" w:rsidRDefault="003E4009" w:rsidP="008E649F">
            <w:pPr>
              <w:pStyle w:val="NoSpacing"/>
              <w:spacing w:line="276" w:lineRule="auto"/>
              <w:rPr>
                <w:b/>
              </w:rPr>
            </w:pPr>
            <w:r w:rsidRPr="004949B3">
              <w:rPr>
                <w:b/>
              </w:rPr>
              <w:t>Nama Emiten</w:t>
            </w:r>
          </w:p>
        </w:tc>
        <w:tc>
          <w:tcPr>
            <w:tcW w:w="1139" w:type="dxa"/>
            <w:vMerge w:val="restart"/>
            <w:shd w:val="clear" w:color="auto" w:fill="BFBFBF" w:themeFill="background1" w:themeFillShade="BF"/>
            <w:vAlign w:val="center"/>
          </w:tcPr>
          <w:p w:rsidR="003E4009" w:rsidRPr="004949B3" w:rsidRDefault="003E4009" w:rsidP="008E649F">
            <w:pPr>
              <w:pStyle w:val="NoSpacing"/>
              <w:spacing w:line="276" w:lineRule="auto"/>
              <w:rPr>
                <w:b/>
                <w:lang w:val="en-US"/>
              </w:rPr>
            </w:pPr>
            <w:r w:rsidRPr="004949B3">
              <w:rPr>
                <w:b/>
                <w:lang w:val="en-US"/>
              </w:rPr>
              <w:t>Return</w:t>
            </w:r>
          </w:p>
        </w:tc>
        <w:tc>
          <w:tcPr>
            <w:tcW w:w="1311" w:type="dxa"/>
            <w:shd w:val="clear" w:color="auto" w:fill="BFBFBF" w:themeFill="background1" w:themeFillShade="BF"/>
          </w:tcPr>
          <w:p w:rsidR="003E4009" w:rsidRPr="004949B3" w:rsidRDefault="003E4009" w:rsidP="008E649F">
            <w:pPr>
              <w:pStyle w:val="NoSpacing"/>
              <w:spacing w:line="276" w:lineRule="auto"/>
              <w:jc w:val="center"/>
              <w:rPr>
                <w:b/>
                <w:lang w:val="en-US"/>
              </w:rPr>
            </w:pPr>
            <w:r w:rsidRPr="004949B3">
              <w:rPr>
                <w:b/>
                <w:lang w:val="en-US"/>
              </w:rPr>
              <w:t>Resiko</w:t>
            </w:r>
          </w:p>
        </w:tc>
      </w:tr>
      <w:tr w:rsidR="003E4009" w:rsidRPr="0062342E" w:rsidTr="008E649F">
        <w:trPr>
          <w:trHeight w:val="139"/>
          <w:jc w:val="center"/>
        </w:trPr>
        <w:tc>
          <w:tcPr>
            <w:tcW w:w="742" w:type="dxa"/>
            <w:vMerge/>
            <w:shd w:val="clear" w:color="auto" w:fill="BFBFBF" w:themeFill="background1" w:themeFillShade="BF"/>
            <w:vAlign w:val="center"/>
          </w:tcPr>
          <w:p w:rsidR="003E4009" w:rsidRPr="0062342E" w:rsidRDefault="003E4009" w:rsidP="008E649F">
            <w:pPr>
              <w:pStyle w:val="NoSpacing"/>
              <w:spacing w:line="276" w:lineRule="auto"/>
            </w:pPr>
          </w:p>
        </w:tc>
        <w:tc>
          <w:tcPr>
            <w:tcW w:w="1542" w:type="dxa"/>
            <w:vMerge/>
            <w:shd w:val="clear" w:color="auto" w:fill="BFBFBF" w:themeFill="background1" w:themeFillShade="BF"/>
            <w:vAlign w:val="center"/>
          </w:tcPr>
          <w:p w:rsidR="003E4009" w:rsidRPr="0062342E" w:rsidRDefault="003E4009" w:rsidP="008E649F">
            <w:pPr>
              <w:pStyle w:val="NoSpacing"/>
              <w:spacing w:line="276" w:lineRule="auto"/>
            </w:pPr>
          </w:p>
        </w:tc>
        <w:tc>
          <w:tcPr>
            <w:tcW w:w="1139" w:type="dxa"/>
            <w:vMerge/>
            <w:shd w:val="clear" w:color="auto" w:fill="BFBFBF" w:themeFill="background1" w:themeFillShade="BF"/>
            <w:vAlign w:val="center"/>
          </w:tcPr>
          <w:p w:rsidR="003E4009" w:rsidRPr="0062342E" w:rsidRDefault="003E4009" w:rsidP="008E649F">
            <w:pPr>
              <w:pStyle w:val="NoSpacing"/>
              <w:spacing w:line="276" w:lineRule="auto"/>
            </w:pPr>
          </w:p>
        </w:tc>
        <w:tc>
          <w:tcPr>
            <w:tcW w:w="1311" w:type="dxa"/>
            <w:shd w:val="clear" w:color="auto" w:fill="BFBFBF" w:themeFill="background1" w:themeFillShade="BF"/>
          </w:tcPr>
          <w:p w:rsidR="003E4009" w:rsidRPr="003E4009" w:rsidRDefault="003E4009" w:rsidP="008E649F">
            <w:pPr>
              <w:pStyle w:val="NoSpacing"/>
              <w:spacing w:line="276" w:lineRule="auto"/>
              <w:rPr>
                <w:b/>
                <w:lang w:val="en-US"/>
              </w:rPr>
            </w:pPr>
            <w:r w:rsidRPr="003E4009">
              <w:rPr>
                <w:b/>
                <w:lang w:val="en-US"/>
              </w:rPr>
              <w:t>VaR-95%</w:t>
            </w:r>
          </w:p>
        </w:tc>
      </w:tr>
      <w:tr w:rsidR="003E4009" w:rsidRPr="0062342E" w:rsidTr="008E649F">
        <w:trPr>
          <w:trHeight w:val="139"/>
          <w:jc w:val="center"/>
        </w:trPr>
        <w:tc>
          <w:tcPr>
            <w:tcW w:w="742" w:type="dxa"/>
            <w:shd w:val="clear" w:color="auto" w:fill="auto"/>
            <w:vAlign w:val="center"/>
          </w:tcPr>
          <w:p w:rsidR="003E4009" w:rsidRPr="005816A4" w:rsidRDefault="003E4009" w:rsidP="008E649F">
            <w:pPr>
              <w:pStyle w:val="NoSpacing"/>
              <w:spacing w:line="276" w:lineRule="auto"/>
              <w:rPr>
                <w:lang w:val="en-US"/>
              </w:rPr>
            </w:pPr>
            <w:r>
              <w:rPr>
                <w:lang w:val="en-US"/>
              </w:rPr>
              <w:t>P1</w:t>
            </w:r>
          </w:p>
        </w:tc>
        <w:tc>
          <w:tcPr>
            <w:tcW w:w="1542" w:type="dxa"/>
            <w:shd w:val="clear" w:color="auto" w:fill="auto"/>
            <w:vAlign w:val="center"/>
          </w:tcPr>
          <w:p w:rsidR="003E4009" w:rsidRPr="005816A4" w:rsidRDefault="003E4009" w:rsidP="008E649F">
            <w:pPr>
              <w:pStyle w:val="NoSpacing"/>
              <w:spacing w:line="276" w:lineRule="auto"/>
              <w:rPr>
                <w:lang w:val="en-US"/>
              </w:rPr>
            </w:pPr>
            <w:r>
              <w:rPr>
                <w:lang w:val="en-US"/>
              </w:rPr>
              <w:t>Portofolio 1</w:t>
            </w:r>
          </w:p>
        </w:tc>
        <w:tc>
          <w:tcPr>
            <w:tcW w:w="1139" w:type="dxa"/>
            <w:shd w:val="clear" w:color="auto" w:fill="auto"/>
          </w:tcPr>
          <w:p w:rsidR="003E4009" w:rsidRPr="009A434B" w:rsidRDefault="003E4009" w:rsidP="008E649F">
            <w:pPr>
              <w:pStyle w:val="NoSpacing"/>
              <w:spacing w:line="276" w:lineRule="auto"/>
            </w:pPr>
            <w:r w:rsidRPr="009A434B">
              <w:t>0.000880</w:t>
            </w:r>
          </w:p>
        </w:tc>
        <w:tc>
          <w:tcPr>
            <w:tcW w:w="1311" w:type="dxa"/>
            <w:vAlign w:val="bottom"/>
          </w:tcPr>
          <w:p w:rsidR="003E4009" w:rsidRPr="000062DB" w:rsidRDefault="003E4009" w:rsidP="008E649F">
            <w:pPr>
              <w:pStyle w:val="NoSpacing"/>
              <w:spacing w:line="276" w:lineRule="auto"/>
              <w:rPr>
                <w:color w:val="000000"/>
              </w:rPr>
            </w:pPr>
            <w:r w:rsidRPr="000062DB">
              <w:rPr>
                <w:color w:val="000000"/>
              </w:rPr>
              <w:t>0.028671</w:t>
            </w:r>
          </w:p>
        </w:tc>
      </w:tr>
    </w:tbl>
    <w:p w:rsidR="003E4009" w:rsidRDefault="003E4009" w:rsidP="00467397">
      <w:pPr>
        <w:pStyle w:val="NoSpacing"/>
        <w:spacing w:line="360" w:lineRule="auto"/>
        <w:ind w:firstLine="720"/>
        <w:jc w:val="both"/>
        <w:rPr>
          <w:rFonts w:ascii="Times New Roman" w:hAnsi="Times New Roman"/>
          <w:sz w:val="24"/>
          <w:szCs w:val="24"/>
          <w:lang w:val="en-US"/>
        </w:rPr>
      </w:pPr>
    </w:p>
    <w:p w:rsidR="003E4009" w:rsidRDefault="003E4009" w:rsidP="00467397">
      <w:pPr>
        <w:pStyle w:val="NoSpacing"/>
        <w:spacing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Tampak bahwa portofolio yang terbentuk </w:t>
      </w:r>
      <w:proofErr w:type="gramStart"/>
      <w:r>
        <w:rPr>
          <w:rFonts w:ascii="Times New Roman" w:hAnsi="Times New Roman"/>
          <w:sz w:val="24"/>
          <w:szCs w:val="24"/>
          <w:lang w:val="en-US"/>
        </w:rPr>
        <w:t>akan</w:t>
      </w:r>
      <w:proofErr w:type="gramEnd"/>
      <w:r>
        <w:rPr>
          <w:rFonts w:ascii="Times New Roman" w:hAnsi="Times New Roman"/>
          <w:sz w:val="24"/>
          <w:szCs w:val="24"/>
          <w:lang w:val="en-US"/>
        </w:rPr>
        <w:t xml:space="preserve"> memberikan keuntungan 0.088% setiap harinya dengan resiko kehilangan dana 2.8671%.</w:t>
      </w:r>
    </w:p>
    <w:p w:rsidR="003E4009" w:rsidRDefault="003E4009" w:rsidP="00467397">
      <w:pPr>
        <w:pStyle w:val="NoSpacing"/>
        <w:spacing w:line="360" w:lineRule="auto"/>
        <w:ind w:firstLine="720"/>
        <w:jc w:val="both"/>
        <w:rPr>
          <w:rFonts w:ascii="Times New Roman" w:hAnsi="Times New Roman"/>
          <w:sz w:val="24"/>
          <w:szCs w:val="24"/>
          <w:lang w:val="en-US"/>
        </w:rPr>
      </w:pPr>
    </w:p>
    <w:p w:rsidR="003E4009" w:rsidRDefault="003E4009" w:rsidP="003E4009">
      <w:pPr>
        <w:pStyle w:val="NoSpacing"/>
        <w:spacing w:line="360" w:lineRule="auto"/>
        <w:ind w:firstLine="720"/>
        <w:jc w:val="both"/>
        <w:rPr>
          <w:rFonts w:ascii="Times New Roman" w:hAnsi="Times New Roman"/>
          <w:sz w:val="24"/>
          <w:szCs w:val="24"/>
          <w:lang w:val="en-US"/>
        </w:rPr>
      </w:pPr>
    </w:p>
    <w:p w:rsidR="003E4009" w:rsidRDefault="003E4009" w:rsidP="003E4009">
      <w:pPr>
        <w:pStyle w:val="NoSpacing"/>
        <w:spacing w:line="360" w:lineRule="auto"/>
        <w:ind w:firstLine="720"/>
        <w:jc w:val="both"/>
        <w:rPr>
          <w:rFonts w:ascii="Times New Roman" w:hAnsi="Times New Roman"/>
          <w:sz w:val="24"/>
          <w:szCs w:val="24"/>
          <w:lang w:val="en-US"/>
        </w:rPr>
      </w:pPr>
    </w:p>
    <w:p w:rsidR="003E4009" w:rsidRPr="007916EB" w:rsidRDefault="003E4009" w:rsidP="003E4009">
      <w:pPr>
        <w:pStyle w:val="NoSpacing"/>
        <w:spacing w:line="360" w:lineRule="auto"/>
        <w:jc w:val="both"/>
        <w:rPr>
          <w:rFonts w:ascii="Times New Roman" w:hAnsi="Times New Roman"/>
          <w:b/>
          <w:sz w:val="24"/>
          <w:szCs w:val="24"/>
          <w:lang w:val="en-US"/>
        </w:rPr>
      </w:pPr>
      <w:r>
        <w:rPr>
          <w:rFonts w:ascii="Times New Roman" w:hAnsi="Times New Roman"/>
          <w:b/>
          <w:sz w:val="24"/>
          <w:szCs w:val="24"/>
          <w:lang w:val="en-US"/>
        </w:rPr>
        <w:lastRenderedPageBreak/>
        <w:t>4.4</w:t>
      </w:r>
      <w:r w:rsidRPr="007916EB">
        <w:rPr>
          <w:rFonts w:ascii="Times New Roman" w:hAnsi="Times New Roman"/>
          <w:b/>
          <w:sz w:val="24"/>
          <w:szCs w:val="24"/>
          <w:lang w:val="en-US"/>
        </w:rPr>
        <w:t xml:space="preserve"> </w:t>
      </w:r>
      <w:r>
        <w:rPr>
          <w:rFonts w:ascii="Times New Roman" w:hAnsi="Times New Roman"/>
          <w:b/>
          <w:color w:val="000000" w:themeColor="text1"/>
          <w:sz w:val="24"/>
          <w:szCs w:val="24"/>
          <w:lang w:val="en-US"/>
        </w:rPr>
        <w:t xml:space="preserve">Evaluasi Kinerja </w:t>
      </w:r>
      <w:r w:rsidRPr="007916EB">
        <w:rPr>
          <w:rFonts w:ascii="Times New Roman" w:hAnsi="Times New Roman"/>
          <w:b/>
          <w:color w:val="000000" w:themeColor="text1"/>
          <w:sz w:val="24"/>
          <w:szCs w:val="24"/>
        </w:rPr>
        <w:t>Portofolio</w:t>
      </w:r>
    </w:p>
    <w:p w:rsidR="003E4009" w:rsidRPr="00573181" w:rsidRDefault="003E4009" w:rsidP="003E4009">
      <w:pPr>
        <w:pStyle w:val="NoSpacing"/>
        <w:spacing w:line="360" w:lineRule="auto"/>
        <w:ind w:firstLine="720"/>
        <w:jc w:val="both"/>
        <w:rPr>
          <w:rFonts w:ascii="Times New Roman" w:hAnsi="Times New Roman"/>
          <w:color w:val="000000" w:themeColor="text1"/>
          <w:sz w:val="24"/>
          <w:szCs w:val="24"/>
          <w:lang w:val="en-US"/>
        </w:rPr>
      </w:pPr>
      <w:r>
        <w:rPr>
          <w:rFonts w:ascii="Times New Roman" w:hAnsi="Times New Roman"/>
          <w:color w:val="000000" w:themeColor="text1"/>
          <w:sz w:val="24"/>
          <w:szCs w:val="24"/>
        </w:rPr>
        <w:t xml:space="preserve">Evaluasi kinerja portofolio dilakukan dengan menggunakan data 1 Juli 2013 – 30 Agustus 2013. </w:t>
      </w:r>
      <w:proofErr w:type="gramStart"/>
      <w:r w:rsidR="00573181">
        <w:rPr>
          <w:rFonts w:ascii="Times New Roman" w:hAnsi="Times New Roman"/>
          <w:color w:val="000000" w:themeColor="text1"/>
          <w:sz w:val="24"/>
          <w:szCs w:val="24"/>
          <w:lang w:val="en-US"/>
        </w:rPr>
        <w:t>Tampak bahwa dalam 2 (dua) bulan tersebut portofolio mengalami kerugian, yaitu mencapai 0.37%.</w:t>
      </w:r>
      <w:proofErr w:type="gramEnd"/>
    </w:p>
    <w:p w:rsidR="003E4009" w:rsidRPr="003E4009" w:rsidRDefault="003E4009" w:rsidP="003E4009">
      <w:pPr>
        <w:autoSpaceDE w:val="0"/>
        <w:autoSpaceDN w:val="0"/>
        <w:adjustRightInd w:val="0"/>
        <w:jc w:val="center"/>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Tabel 6</w:t>
      </w:r>
      <w:r w:rsidRPr="00D07B84">
        <w:rPr>
          <w:rFonts w:ascii="Times New Roman" w:hAnsi="Times New Roman"/>
          <w:color w:val="000000" w:themeColor="text1"/>
          <w:sz w:val="24"/>
          <w:szCs w:val="24"/>
          <w:lang w:val="en-US"/>
        </w:rPr>
        <w:t xml:space="preserve"> </w:t>
      </w:r>
      <w:r>
        <w:rPr>
          <w:rFonts w:ascii="Times New Roman" w:hAnsi="Times New Roman"/>
          <w:color w:val="000000" w:themeColor="text1"/>
          <w:sz w:val="24"/>
          <w:szCs w:val="24"/>
          <w:lang w:val="en-US"/>
        </w:rPr>
        <w:t>Perbandingan Mean dan Std Deviasi Return Portofolio</w:t>
      </w:r>
      <w:proofErr w:type="gramStart"/>
      <w:r>
        <w:rPr>
          <w:rFonts w:ascii="Times New Roman" w:hAnsi="Times New Roman"/>
          <w:color w:val="000000" w:themeColor="text1"/>
          <w:sz w:val="24"/>
          <w:szCs w:val="24"/>
          <w:lang w:val="en-US"/>
        </w:rPr>
        <w:t>,  IHSG</w:t>
      </w:r>
      <w:proofErr w:type="gramEnd"/>
      <w:r>
        <w:rPr>
          <w:rFonts w:ascii="Times New Roman" w:hAnsi="Times New Roman"/>
          <w:color w:val="000000" w:themeColor="text1"/>
          <w:sz w:val="24"/>
          <w:szCs w:val="24"/>
          <w:lang w:val="en-US"/>
        </w:rPr>
        <w:t xml:space="preserve"> dan JII</w:t>
      </w:r>
    </w:p>
    <w:tbl>
      <w:tblPr>
        <w:tblW w:w="6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2487"/>
        <w:gridCol w:w="1676"/>
        <w:gridCol w:w="1970"/>
      </w:tblGrid>
      <w:tr w:rsidR="003E4009" w:rsidRPr="009F18F2" w:rsidTr="008E649F">
        <w:trPr>
          <w:trHeight w:val="300"/>
          <w:jc w:val="center"/>
        </w:trPr>
        <w:tc>
          <w:tcPr>
            <w:tcW w:w="781" w:type="dxa"/>
            <w:vMerge w:val="restart"/>
            <w:shd w:val="clear" w:color="auto" w:fill="BFBFBF" w:themeFill="background1" w:themeFillShade="BF"/>
            <w:noWrap/>
            <w:vAlign w:val="center"/>
            <w:hideMark/>
          </w:tcPr>
          <w:p w:rsidR="003E4009" w:rsidRPr="009F18F2" w:rsidRDefault="003E4009" w:rsidP="008E649F">
            <w:pPr>
              <w:pStyle w:val="NoSpacing"/>
              <w:spacing w:line="276" w:lineRule="auto"/>
              <w:rPr>
                <w:rFonts w:ascii="Times New Roman" w:hAnsi="Times New Roman"/>
                <w:b/>
                <w:sz w:val="24"/>
                <w:szCs w:val="24"/>
                <w:lang w:val="en-US"/>
              </w:rPr>
            </w:pPr>
            <w:r w:rsidRPr="009F18F2">
              <w:rPr>
                <w:rFonts w:ascii="Times New Roman" w:hAnsi="Times New Roman"/>
                <w:b/>
                <w:sz w:val="24"/>
                <w:szCs w:val="24"/>
                <w:lang w:val="en-US"/>
              </w:rPr>
              <w:t>Kode</w:t>
            </w:r>
          </w:p>
        </w:tc>
        <w:tc>
          <w:tcPr>
            <w:tcW w:w="2487" w:type="dxa"/>
            <w:vMerge w:val="restart"/>
            <w:shd w:val="clear" w:color="auto" w:fill="BFBFBF" w:themeFill="background1" w:themeFillShade="BF"/>
            <w:noWrap/>
            <w:vAlign w:val="center"/>
            <w:hideMark/>
          </w:tcPr>
          <w:p w:rsidR="003E4009" w:rsidRPr="009F18F2" w:rsidRDefault="003E4009" w:rsidP="008E649F">
            <w:pPr>
              <w:pStyle w:val="NoSpacing"/>
              <w:spacing w:line="276" w:lineRule="auto"/>
              <w:rPr>
                <w:rFonts w:ascii="Times New Roman" w:hAnsi="Times New Roman"/>
                <w:b/>
                <w:sz w:val="24"/>
                <w:szCs w:val="24"/>
                <w:lang w:val="en-US"/>
              </w:rPr>
            </w:pPr>
            <w:r w:rsidRPr="009F18F2">
              <w:rPr>
                <w:rFonts w:ascii="Times New Roman" w:hAnsi="Times New Roman"/>
                <w:b/>
                <w:sz w:val="24"/>
                <w:szCs w:val="24"/>
                <w:lang w:val="en-US"/>
              </w:rPr>
              <w:t>Nama</w:t>
            </w:r>
          </w:p>
        </w:tc>
        <w:tc>
          <w:tcPr>
            <w:tcW w:w="3646" w:type="dxa"/>
            <w:gridSpan w:val="2"/>
            <w:shd w:val="clear" w:color="auto" w:fill="BFBFBF" w:themeFill="background1" w:themeFillShade="BF"/>
            <w:noWrap/>
            <w:vAlign w:val="center"/>
            <w:hideMark/>
          </w:tcPr>
          <w:p w:rsidR="003E4009" w:rsidRPr="009F18F2" w:rsidRDefault="003E4009" w:rsidP="008E649F">
            <w:pPr>
              <w:pStyle w:val="NoSpacing"/>
              <w:spacing w:line="276" w:lineRule="auto"/>
              <w:jc w:val="center"/>
              <w:rPr>
                <w:rFonts w:ascii="Times New Roman" w:hAnsi="Times New Roman"/>
                <w:b/>
                <w:sz w:val="24"/>
                <w:szCs w:val="24"/>
                <w:lang w:val="en-US"/>
              </w:rPr>
            </w:pPr>
            <w:r w:rsidRPr="009F18F2">
              <w:rPr>
                <w:rFonts w:ascii="Times New Roman" w:hAnsi="Times New Roman"/>
                <w:b/>
                <w:sz w:val="24"/>
                <w:szCs w:val="24"/>
                <w:lang w:val="en-US"/>
              </w:rPr>
              <w:t>Return</w:t>
            </w:r>
          </w:p>
        </w:tc>
      </w:tr>
      <w:tr w:rsidR="003E4009" w:rsidRPr="009F18F2" w:rsidTr="008E649F">
        <w:trPr>
          <w:trHeight w:val="300"/>
          <w:jc w:val="center"/>
        </w:trPr>
        <w:tc>
          <w:tcPr>
            <w:tcW w:w="781" w:type="dxa"/>
            <w:vMerge/>
            <w:shd w:val="clear" w:color="auto" w:fill="BFBFBF" w:themeFill="background1" w:themeFillShade="BF"/>
            <w:noWrap/>
            <w:vAlign w:val="center"/>
            <w:hideMark/>
          </w:tcPr>
          <w:p w:rsidR="003E4009" w:rsidRPr="009F18F2" w:rsidRDefault="003E4009" w:rsidP="008E649F">
            <w:pPr>
              <w:pStyle w:val="NoSpacing"/>
              <w:spacing w:line="276" w:lineRule="auto"/>
              <w:rPr>
                <w:rFonts w:ascii="Times New Roman" w:hAnsi="Times New Roman"/>
                <w:b/>
                <w:sz w:val="24"/>
                <w:szCs w:val="24"/>
                <w:lang w:val="en-US"/>
              </w:rPr>
            </w:pPr>
          </w:p>
        </w:tc>
        <w:tc>
          <w:tcPr>
            <w:tcW w:w="2487" w:type="dxa"/>
            <w:vMerge/>
            <w:shd w:val="clear" w:color="auto" w:fill="BFBFBF" w:themeFill="background1" w:themeFillShade="BF"/>
            <w:noWrap/>
            <w:vAlign w:val="center"/>
            <w:hideMark/>
          </w:tcPr>
          <w:p w:rsidR="003E4009" w:rsidRPr="009F18F2" w:rsidRDefault="003E4009" w:rsidP="008E649F">
            <w:pPr>
              <w:pStyle w:val="NoSpacing"/>
              <w:spacing w:line="276" w:lineRule="auto"/>
              <w:rPr>
                <w:rFonts w:ascii="Times New Roman" w:hAnsi="Times New Roman"/>
                <w:b/>
                <w:sz w:val="24"/>
                <w:szCs w:val="24"/>
                <w:lang w:val="en-US"/>
              </w:rPr>
            </w:pPr>
          </w:p>
        </w:tc>
        <w:tc>
          <w:tcPr>
            <w:tcW w:w="1676" w:type="dxa"/>
            <w:shd w:val="clear" w:color="auto" w:fill="BFBFBF" w:themeFill="background1" w:themeFillShade="BF"/>
            <w:noWrap/>
            <w:vAlign w:val="center"/>
            <w:hideMark/>
          </w:tcPr>
          <w:p w:rsidR="003E4009" w:rsidRPr="009F18F2" w:rsidRDefault="003E4009" w:rsidP="008E649F">
            <w:pPr>
              <w:pStyle w:val="NoSpacing"/>
              <w:spacing w:line="276" w:lineRule="auto"/>
              <w:jc w:val="center"/>
              <w:rPr>
                <w:rFonts w:ascii="Times New Roman" w:hAnsi="Times New Roman"/>
                <w:b/>
                <w:sz w:val="24"/>
                <w:szCs w:val="24"/>
                <w:lang w:val="en-US"/>
              </w:rPr>
            </w:pPr>
            <w:r w:rsidRPr="009F18F2">
              <w:rPr>
                <w:rFonts w:ascii="Times New Roman" w:hAnsi="Times New Roman"/>
                <w:b/>
                <w:sz w:val="24"/>
                <w:szCs w:val="24"/>
                <w:lang w:val="en-US"/>
              </w:rPr>
              <w:t>Mean</w:t>
            </w:r>
          </w:p>
        </w:tc>
        <w:tc>
          <w:tcPr>
            <w:tcW w:w="1970" w:type="dxa"/>
            <w:shd w:val="clear" w:color="auto" w:fill="BFBFBF" w:themeFill="background1" w:themeFillShade="BF"/>
            <w:noWrap/>
            <w:vAlign w:val="center"/>
            <w:hideMark/>
          </w:tcPr>
          <w:p w:rsidR="003E4009" w:rsidRPr="009F18F2" w:rsidRDefault="003E4009" w:rsidP="008E649F">
            <w:pPr>
              <w:pStyle w:val="NoSpacing"/>
              <w:spacing w:line="276" w:lineRule="auto"/>
              <w:rPr>
                <w:rFonts w:ascii="Times New Roman" w:hAnsi="Times New Roman"/>
                <w:b/>
                <w:sz w:val="24"/>
                <w:szCs w:val="24"/>
                <w:lang w:val="en-US"/>
              </w:rPr>
            </w:pPr>
            <w:r w:rsidRPr="009F18F2">
              <w:rPr>
                <w:rFonts w:ascii="Times New Roman" w:hAnsi="Times New Roman"/>
                <w:b/>
                <w:sz w:val="24"/>
                <w:szCs w:val="24"/>
                <w:lang w:val="en-US"/>
              </w:rPr>
              <w:t>Standar Deviasi</w:t>
            </w:r>
          </w:p>
        </w:tc>
      </w:tr>
      <w:tr w:rsidR="003E4009" w:rsidRPr="009F18F2" w:rsidTr="008E649F">
        <w:trPr>
          <w:trHeight w:val="300"/>
          <w:jc w:val="center"/>
        </w:trPr>
        <w:tc>
          <w:tcPr>
            <w:tcW w:w="781" w:type="dxa"/>
            <w:shd w:val="clear" w:color="auto" w:fill="auto"/>
            <w:noWrap/>
            <w:vAlign w:val="center"/>
            <w:hideMark/>
          </w:tcPr>
          <w:p w:rsidR="003E4009" w:rsidRPr="009F18F2" w:rsidRDefault="003E4009" w:rsidP="008E649F">
            <w:pPr>
              <w:pStyle w:val="NoSpacing"/>
              <w:spacing w:line="276" w:lineRule="auto"/>
              <w:rPr>
                <w:rFonts w:ascii="Times New Roman" w:hAnsi="Times New Roman"/>
                <w:sz w:val="24"/>
                <w:szCs w:val="24"/>
                <w:lang w:val="en-US"/>
              </w:rPr>
            </w:pPr>
            <w:r w:rsidRPr="009F18F2">
              <w:rPr>
                <w:rFonts w:ascii="Times New Roman" w:hAnsi="Times New Roman"/>
                <w:sz w:val="24"/>
                <w:szCs w:val="24"/>
                <w:lang w:val="en-US"/>
              </w:rPr>
              <w:t>P1</w:t>
            </w:r>
          </w:p>
        </w:tc>
        <w:tc>
          <w:tcPr>
            <w:tcW w:w="2487" w:type="dxa"/>
            <w:shd w:val="clear" w:color="auto" w:fill="auto"/>
            <w:noWrap/>
            <w:vAlign w:val="center"/>
            <w:hideMark/>
          </w:tcPr>
          <w:p w:rsidR="003E4009" w:rsidRPr="009F18F2" w:rsidRDefault="003E4009" w:rsidP="008E649F">
            <w:pPr>
              <w:pStyle w:val="NoSpacing"/>
              <w:spacing w:line="276" w:lineRule="auto"/>
              <w:rPr>
                <w:rFonts w:ascii="Times New Roman" w:hAnsi="Times New Roman"/>
                <w:sz w:val="24"/>
                <w:szCs w:val="24"/>
                <w:lang w:val="en-US"/>
              </w:rPr>
            </w:pPr>
            <w:r w:rsidRPr="009F18F2">
              <w:rPr>
                <w:rFonts w:ascii="Times New Roman" w:hAnsi="Times New Roman"/>
                <w:sz w:val="24"/>
                <w:szCs w:val="24"/>
                <w:lang w:val="en-US"/>
              </w:rPr>
              <w:t>Portofolio 1</w:t>
            </w:r>
          </w:p>
        </w:tc>
        <w:tc>
          <w:tcPr>
            <w:tcW w:w="1676" w:type="dxa"/>
            <w:shd w:val="clear" w:color="auto" w:fill="auto"/>
            <w:noWrap/>
            <w:vAlign w:val="center"/>
            <w:hideMark/>
          </w:tcPr>
          <w:p w:rsidR="003E4009" w:rsidRPr="009F18F2" w:rsidRDefault="003E4009" w:rsidP="008E649F">
            <w:pPr>
              <w:pStyle w:val="NoSpacing"/>
              <w:spacing w:line="276" w:lineRule="auto"/>
              <w:rPr>
                <w:rFonts w:ascii="Times New Roman" w:hAnsi="Times New Roman"/>
                <w:sz w:val="24"/>
                <w:szCs w:val="24"/>
                <w:lang w:val="en-US"/>
              </w:rPr>
            </w:pPr>
            <w:r w:rsidRPr="009F18F2">
              <w:rPr>
                <w:rFonts w:ascii="Times New Roman" w:hAnsi="Times New Roman"/>
                <w:sz w:val="24"/>
                <w:szCs w:val="24"/>
                <w:lang w:val="en-US"/>
              </w:rPr>
              <w:t>-0.003714975</w:t>
            </w:r>
          </w:p>
        </w:tc>
        <w:tc>
          <w:tcPr>
            <w:tcW w:w="1970" w:type="dxa"/>
            <w:shd w:val="clear" w:color="auto" w:fill="auto"/>
            <w:noWrap/>
            <w:vAlign w:val="center"/>
            <w:hideMark/>
          </w:tcPr>
          <w:p w:rsidR="003E4009" w:rsidRPr="009F18F2" w:rsidRDefault="003E4009" w:rsidP="00573181">
            <w:pPr>
              <w:pStyle w:val="NoSpacing"/>
              <w:spacing w:line="276" w:lineRule="auto"/>
              <w:jc w:val="center"/>
              <w:rPr>
                <w:rFonts w:ascii="Times New Roman" w:hAnsi="Times New Roman"/>
                <w:sz w:val="24"/>
                <w:szCs w:val="24"/>
                <w:lang w:val="en-US"/>
              </w:rPr>
            </w:pPr>
            <w:r w:rsidRPr="009F18F2">
              <w:rPr>
                <w:rFonts w:ascii="Times New Roman" w:hAnsi="Times New Roman"/>
                <w:sz w:val="24"/>
                <w:szCs w:val="24"/>
                <w:lang w:val="en-US"/>
              </w:rPr>
              <w:t>0.021701869</w:t>
            </w:r>
          </w:p>
        </w:tc>
      </w:tr>
      <w:tr w:rsidR="003E4009" w:rsidRPr="009F18F2" w:rsidTr="008E649F">
        <w:trPr>
          <w:trHeight w:val="300"/>
          <w:jc w:val="center"/>
        </w:trPr>
        <w:tc>
          <w:tcPr>
            <w:tcW w:w="781" w:type="dxa"/>
            <w:shd w:val="clear" w:color="auto" w:fill="auto"/>
            <w:noWrap/>
            <w:vAlign w:val="center"/>
            <w:hideMark/>
          </w:tcPr>
          <w:p w:rsidR="003E4009" w:rsidRPr="009F18F2" w:rsidRDefault="003E4009" w:rsidP="008E649F">
            <w:pPr>
              <w:pStyle w:val="NoSpacing"/>
              <w:spacing w:line="276" w:lineRule="auto"/>
              <w:rPr>
                <w:rFonts w:ascii="Times New Roman" w:hAnsi="Times New Roman"/>
                <w:sz w:val="24"/>
                <w:szCs w:val="24"/>
                <w:lang w:val="en-US"/>
              </w:rPr>
            </w:pPr>
            <w:r w:rsidRPr="009F18F2">
              <w:rPr>
                <w:rFonts w:ascii="Times New Roman" w:hAnsi="Times New Roman"/>
                <w:sz w:val="24"/>
                <w:szCs w:val="24"/>
                <w:lang w:val="en-US"/>
              </w:rPr>
              <w:t>IHSG</w:t>
            </w:r>
          </w:p>
        </w:tc>
        <w:tc>
          <w:tcPr>
            <w:tcW w:w="2487" w:type="dxa"/>
            <w:shd w:val="clear" w:color="auto" w:fill="auto"/>
            <w:noWrap/>
            <w:vAlign w:val="center"/>
            <w:hideMark/>
          </w:tcPr>
          <w:p w:rsidR="003E4009" w:rsidRPr="009F18F2" w:rsidRDefault="003E4009" w:rsidP="008E649F">
            <w:pPr>
              <w:pStyle w:val="NoSpacing"/>
              <w:spacing w:line="276" w:lineRule="auto"/>
              <w:rPr>
                <w:rFonts w:ascii="Times New Roman" w:hAnsi="Times New Roman"/>
                <w:sz w:val="24"/>
                <w:szCs w:val="24"/>
                <w:lang w:val="en-US"/>
              </w:rPr>
            </w:pPr>
            <w:r w:rsidRPr="009F18F2">
              <w:rPr>
                <w:rFonts w:ascii="Times New Roman" w:hAnsi="Times New Roman"/>
                <w:sz w:val="24"/>
                <w:szCs w:val="24"/>
                <w:lang w:val="en-US"/>
              </w:rPr>
              <w:t>Indeks Harga Saham Gabungan</w:t>
            </w:r>
          </w:p>
        </w:tc>
        <w:tc>
          <w:tcPr>
            <w:tcW w:w="1676" w:type="dxa"/>
            <w:shd w:val="clear" w:color="auto" w:fill="auto"/>
            <w:noWrap/>
            <w:vAlign w:val="center"/>
            <w:hideMark/>
          </w:tcPr>
          <w:p w:rsidR="003E4009" w:rsidRPr="009F18F2" w:rsidRDefault="003E4009" w:rsidP="008E649F">
            <w:pPr>
              <w:pStyle w:val="NoSpacing"/>
              <w:spacing w:line="276" w:lineRule="auto"/>
              <w:rPr>
                <w:rFonts w:ascii="Times New Roman" w:hAnsi="Times New Roman"/>
                <w:sz w:val="24"/>
                <w:szCs w:val="24"/>
                <w:lang w:val="en-US"/>
              </w:rPr>
            </w:pPr>
            <w:r w:rsidRPr="009F18F2">
              <w:rPr>
                <w:rFonts w:ascii="Times New Roman" w:hAnsi="Times New Roman"/>
                <w:sz w:val="24"/>
                <w:szCs w:val="24"/>
                <w:lang w:val="en-US"/>
              </w:rPr>
              <w:t>-0.003333132</w:t>
            </w:r>
          </w:p>
        </w:tc>
        <w:tc>
          <w:tcPr>
            <w:tcW w:w="1970" w:type="dxa"/>
            <w:shd w:val="clear" w:color="auto" w:fill="auto"/>
            <w:noWrap/>
            <w:vAlign w:val="center"/>
            <w:hideMark/>
          </w:tcPr>
          <w:p w:rsidR="003E4009" w:rsidRPr="009F18F2" w:rsidRDefault="003E4009" w:rsidP="00573181">
            <w:pPr>
              <w:pStyle w:val="NoSpacing"/>
              <w:spacing w:line="276" w:lineRule="auto"/>
              <w:jc w:val="center"/>
              <w:rPr>
                <w:rFonts w:ascii="Times New Roman" w:hAnsi="Times New Roman"/>
                <w:sz w:val="24"/>
                <w:szCs w:val="24"/>
                <w:lang w:val="en-US"/>
              </w:rPr>
            </w:pPr>
            <w:r w:rsidRPr="009F18F2">
              <w:rPr>
                <w:rFonts w:ascii="Times New Roman" w:hAnsi="Times New Roman"/>
                <w:sz w:val="24"/>
                <w:szCs w:val="24"/>
                <w:lang w:val="en-US"/>
              </w:rPr>
              <w:t>0.019074944</w:t>
            </w:r>
          </w:p>
        </w:tc>
      </w:tr>
      <w:tr w:rsidR="003E4009" w:rsidRPr="009F18F2" w:rsidTr="008E649F">
        <w:trPr>
          <w:trHeight w:val="300"/>
          <w:jc w:val="center"/>
        </w:trPr>
        <w:tc>
          <w:tcPr>
            <w:tcW w:w="781" w:type="dxa"/>
            <w:shd w:val="clear" w:color="auto" w:fill="auto"/>
            <w:noWrap/>
            <w:vAlign w:val="center"/>
            <w:hideMark/>
          </w:tcPr>
          <w:p w:rsidR="003E4009" w:rsidRPr="009F18F2" w:rsidRDefault="003E4009" w:rsidP="008E649F">
            <w:pPr>
              <w:pStyle w:val="NoSpacing"/>
              <w:spacing w:line="276" w:lineRule="auto"/>
              <w:rPr>
                <w:rFonts w:ascii="Times New Roman" w:hAnsi="Times New Roman"/>
                <w:sz w:val="24"/>
                <w:szCs w:val="24"/>
                <w:lang w:val="en-US"/>
              </w:rPr>
            </w:pPr>
            <w:r w:rsidRPr="009F18F2">
              <w:rPr>
                <w:rFonts w:ascii="Times New Roman" w:hAnsi="Times New Roman"/>
                <w:sz w:val="24"/>
                <w:szCs w:val="24"/>
                <w:lang w:val="en-US"/>
              </w:rPr>
              <w:t>JII</w:t>
            </w:r>
          </w:p>
        </w:tc>
        <w:tc>
          <w:tcPr>
            <w:tcW w:w="2487" w:type="dxa"/>
            <w:shd w:val="clear" w:color="auto" w:fill="auto"/>
            <w:noWrap/>
            <w:vAlign w:val="center"/>
            <w:hideMark/>
          </w:tcPr>
          <w:p w:rsidR="003E4009" w:rsidRPr="00E10387" w:rsidRDefault="003E4009" w:rsidP="008E649F">
            <w:pPr>
              <w:pStyle w:val="NoSpacing"/>
              <w:spacing w:line="276" w:lineRule="auto"/>
              <w:rPr>
                <w:rFonts w:ascii="Times New Roman" w:hAnsi="Times New Roman"/>
                <w:i/>
                <w:sz w:val="24"/>
                <w:szCs w:val="24"/>
                <w:lang w:val="en-US"/>
              </w:rPr>
            </w:pPr>
            <w:r w:rsidRPr="00E10387">
              <w:rPr>
                <w:rFonts w:ascii="Times New Roman" w:hAnsi="Times New Roman"/>
                <w:i/>
                <w:sz w:val="24"/>
                <w:szCs w:val="24"/>
                <w:lang w:val="en-US"/>
              </w:rPr>
              <w:t>Jakarta Islamic Index</w:t>
            </w:r>
          </w:p>
        </w:tc>
        <w:tc>
          <w:tcPr>
            <w:tcW w:w="1676" w:type="dxa"/>
            <w:shd w:val="clear" w:color="auto" w:fill="auto"/>
            <w:noWrap/>
            <w:vAlign w:val="center"/>
            <w:hideMark/>
          </w:tcPr>
          <w:p w:rsidR="003E4009" w:rsidRPr="009F18F2" w:rsidRDefault="003E4009" w:rsidP="008E649F">
            <w:pPr>
              <w:pStyle w:val="NoSpacing"/>
              <w:spacing w:line="276" w:lineRule="auto"/>
              <w:rPr>
                <w:rFonts w:ascii="Times New Roman" w:hAnsi="Times New Roman"/>
                <w:sz w:val="24"/>
                <w:szCs w:val="24"/>
                <w:lang w:val="en-US"/>
              </w:rPr>
            </w:pPr>
            <w:r w:rsidRPr="009F18F2">
              <w:rPr>
                <w:rFonts w:ascii="Times New Roman" w:hAnsi="Times New Roman"/>
                <w:sz w:val="24"/>
                <w:szCs w:val="24"/>
                <w:lang w:val="en-US"/>
              </w:rPr>
              <w:t>-0.002453238</w:t>
            </w:r>
          </w:p>
        </w:tc>
        <w:tc>
          <w:tcPr>
            <w:tcW w:w="1970" w:type="dxa"/>
            <w:shd w:val="clear" w:color="auto" w:fill="auto"/>
            <w:noWrap/>
            <w:vAlign w:val="center"/>
            <w:hideMark/>
          </w:tcPr>
          <w:p w:rsidR="003E4009" w:rsidRPr="009F18F2" w:rsidRDefault="003E4009" w:rsidP="00573181">
            <w:pPr>
              <w:pStyle w:val="NoSpacing"/>
              <w:spacing w:line="276" w:lineRule="auto"/>
              <w:jc w:val="center"/>
              <w:rPr>
                <w:rFonts w:ascii="Times New Roman" w:hAnsi="Times New Roman"/>
                <w:sz w:val="24"/>
                <w:szCs w:val="24"/>
                <w:lang w:val="en-US"/>
              </w:rPr>
            </w:pPr>
            <w:r w:rsidRPr="009F18F2">
              <w:rPr>
                <w:rFonts w:ascii="Times New Roman" w:hAnsi="Times New Roman"/>
                <w:sz w:val="24"/>
                <w:szCs w:val="24"/>
                <w:lang w:val="en-US"/>
              </w:rPr>
              <w:t>0.022329958</w:t>
            </w:r>
          </w:p>
        </w:tc>
      </w:tr>
    </w:tbl>
    <w:p w:rsidR="003E4009" w:rsidRDefault="003E4009" w:rsidP="00573181">
      <w:pPr>
        <w:pStyle w:val="NoSpacing"/>
        <w:spacing w:line="360" w:lineRule="auto"/>
        <w:jc w:val="both"/>
        <w:rPr>
          <w:rFonts w:ascii="Times New Roman" w:hAnsi="Times New Roman"/>
          <w:color w:val="000000" w:themeColor="text1"/>
          <w:sz w:val="24"/>
          <w:szCs w:val="24"/>
          <w:lang w:val="en-US"/>
        </w:rPr>
      </w:pPr>
    </w:p>
    <w:p w:rsidR="00573181" w:rsidRPr="00573181" w:rsidRDefault="00573181" w:rsidP="00573181">
      <w:pPr>
        <w:autoSpaceDE w:val="0"/>
        <w:autoSpaceDN w:val="0"/>
        <w:adjustRightInd w:val="0"/>
        <w:spacing w:line="360" w:lineRule="auto"/>
        <w:ind w:firstLine="720"/>
        <w:jc w:val="both"/>
        <w:rPr>
          <w:rFonts w:ascii="Times New Roman" w:eastAsiaTheme="minorHAnsi" w:hAnsi="Times New Roman"/>
          <w:color w:val="000000" w:themeColor="text1"/>
          <w:sz w:val="24"/>
          <w:szCs w:val="24"/>
          <w:lang w:val="en-US"/>
        </w:rPr>
      </w:pPr>
      <w:r>
        <w:rPr>
          <w:rFonts w:ascii="Times New Roman" w:hAnsi="Times New Roman"/>
          <w:color w:val="000000" w:themeColor="text1"/>
          <w:sz w:val="24"/>
          <w:szCs w:val="24"/>
        </w:rPr>
        <w:t xml:space="preserve">Selain itu, nilai return pasar gabungan (IHSG) dan pasar syariah (JII) pun mengalami kerugian. </w:t>
      </w:r>
      <w:proofErr w:type="gramStart"/>
      <w:r>
        <w:rPr>
          <w:rFonts w:ascii="Times New Roman" w:hAnsi="Times New Roman"/>
          <w:color w:val="000000" w:themeColor="text1"/>
          <w:sz w:val="24"/>
          <w:szCs w:val="24"/>
          <w:lang w:val="en-US"/>
        </w:rPr>
        <w:t xml:space="preserve">Hal ini seiring terjadi </w:t>
      </w:r>
      <w:r>
        <w:rPr>
          <w:rFonts w:ascii="Times New Roman" w:hAnsi="Times New Roman"/>
          <w:color w:val="000000" w:themeColor="text1"/>
          <w:sz w:val="24"/>
          <w:szCs w:val="24"/>
        </w:rPr>
        <w:t>dengan terpuruknya ekonomi dunia terutama di Eropa dan di Asia, kondisi pasar modal indonesiapun ikut terpuruk.</w:t>
      </w:r>
      <w:proofErr w:type="gramEnd"/>
      <w:r>
        <w:rPr>
          <w:rFonts w:ascii="Times New Roman" w:hAnsi="Times New Roman"/>
          <w:color w:val="000000" w:themeColor="text1"/>
          <w:sz w:val="24"/>
          <w:szCs w:val="24"/>
        </w:rPr>
        <w:t xml:space="preserve"> Beberapa indikator penunjang keterpurukan pasar modal Indonesia pada periode tersebut adalah:</w:t>
      </w:r>
    </w:p>
    <w:p w:rsidR="00573181" w:rsidRDefault="00573181" w:rsidP="00573181">
      <w:pPr>
        <w:pStyle w:val="NoSpacing"/>
        <w:numPr>
          <w:ilvl w:val="0"/>
          <w:numId w:val="22"/>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Turunnya nilai IHSG sampai di bawah 4000 selama tahun 2013, yaitu 3968 (27 Agustus 2013)</w:t>
      </w:r>
    </w:p>
    <w:p w:rsidR="00573181" w:rsidRDefault="00573181" w:rsidP="00573181">
      <w:pPr>
        <w:pStyle w:val="NoSpacing"/>
        <w:numPr>
          <w:ilvl w:val="0"/>
          <w:numId w:val="22"/>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Infasi yang tinggi pada bulan Juli dan Agustus 2013, yaitu 8.61% pada bulan Juli 2013 dan 8.79% pada bulan Agustus 2013. Sementara pada bulan Juni 2013 hanya 5.90%</w:t>
      </w:r>
    </w:p>
    <w:p w:rsidR="00573181" w:rsidRDefault="00573181" w:rsidP="00573181">
      <w:pPr>
        <w:pStyle w:val="NoSpacing"/>
        <w:numPr>
          <w:ilvl w:val="0"/>
          <w:numId w:val="22"/>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Nilai Kurs Dolar ($ USD) yang menembus Rp. 11.000,- </w:t>
      </w:r>
    </w:p>
    <w:p w:rsidR="00573181" w:rsidRPr="004949B3" w:rsidRDefault="00573181" w:rsidP="00573181">
      <w:pPr>
        <w:pStyle w:val="NoSpacing"/>
        <w:numPr>
          <w:ilvl w:val="0"/>
          <w:numId w:val="22"/>
        </w:num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BI Rate yang pada 15 Agustus 2013 ditetapkan 6.50% langsung dinaikan menjadi 7% pada 29 Agustus 2013</w:t>
      </w:r>
    </w:p>
    <w:p w:rsidR="00573181" w:rsidRDefault="00573181" w:rsidP="00DA29A0">
      <w:pPr>
        <w:pStyle w:val="NoSpacing"/>
        <w:spacing w:line="360" w:lineRule="auto"/>
        <w:ind w:firstLine="720"/>
        <w:jc w:val="both"/>
        <w:rPr>
          <w:rFonts w:ascii="Times New Roman" w:hAnsi="Times New Roman"/>
          <w:sz w:val="24"/>
          <w:szCs w:val="24"/>
          <w:lang w:val="en-US"/>
        </w:rPr>
      </w:pPr>
    </w:p>
    <w:p w:rsidR="00573181" w:rsidRPr="006F6DEE" w:rsidRDefault="00573181" w:rsidP="00573181">
      <w:pPr>
        <w:pStyle w:val="NoSpacing"/>
        <w:spacing w:line="360" w:lineRule="auto"/>
        <w:jc w:val="both"/>
        <w:rPr>
          <w:rFonts w:ascii="Times New Roman" w:hAnsi="Times New Roman"/>
          <w:b/>
          <w:sz w:val="24"/>
          <w:szCs w:val="24"/>
        </w:rPr>
      </w:pPr>
      <w:r>
        <w:rPr>
          <w:rFonts w:ascii="Times New Roman" w:hAnsi="Times New Roman"/>
          <w:b/>
          <w:sz w:val="24"/>
          <w:szCs w:val="24"/>
          <w:lang w:val="en-US"/>
        </w:rPr>
        <w:t>5</w:t>
      </w:r>
      <w:r>
        <w:rPr>
          <w:rFonts w:ascii="Times New Roman" w:hAnsi="Times New Roman"/>
          <w:b/>
          <w:sz w:val="24"/>
          <w:szCs w:val="24"/>
        </w:rPr>
        <w:t xml:space="preserve">. </w:t>
      </w:r>
      <w:r>
        <w:rPr>
          <w:rFonts w:ascii="Times New Roman" w:hAnsi="Times New Roman"/>
          <w:b/>
          <w:sz w:val="24"/>
          <w:szCs w:val="24"/>
          <w:lang w:val="en-US"/>
        </w:rPr>
        <w:t>KESIMPULAN</w:t>
      </w:r>
      <w:r w:rsidRPr="006F6DEE">
        <w:rPr>
          <w:rFonts w:ascii="Times New Roman" w:hAnsi="Times New Roman"/>
          <w:b/>
          <w:sz w:val="24"/>
          <w:szCs w:val="24"/>
        </w:rPr>
        <w:tab/>
      </w:r>
    </w:p>
    <w:p w:rsidR="00573181" w:rsidRDefault="00573181" w:rsidP="00573181">
      <w:pPr>
        <w:pStyle w:val="NoSpacing"/>
        <w:spacing w:line="360" w:lineRule="auto"/>
        <w:ind w:firstLine="720"/>
        <w:jc w:val="both"/>
        <w:rPr>
          <w:rFonts w:ascii="Times New Roman" w:hAnsi="Times New Roman"/>
          <w:color w:val="000000" w:themeColor="text1"/>
          <w:sz w:val="24"/>
          <w:szCs w:val="24"/>
          <w:lang w:val="en-US"/>
        </w:rPr>
      </w:pPr>
      <w:r w:rsidRPr="00834131">
        <w:rPr>
          <w:rFonts w:ascii="Times New Roman" w:hAnsi="Times New Roman"/>
          <w:color w:val="000000" w:themeColor="text1"/>
          <w:sz w:val="24"/>
          <w:szCs w:val="24"/>
          <w:lang w:val="en-US"/>
        </w:rPr>
        <w:t xml:space="preserve">Berikut </w:t>
      </w:r>
      <w:r>
        <w:rPr>
          <w:rFonts w:ascii="Times New Roman" w:hAnsi="Times New Roman"/>
          <w:color w:val="000000" w:themeColor="text1"/>
          <w:sz w:val="24"/>
          <w:szCs w:val="24"/>
          <w:lang w:val="en-US"/>
        </w:rPr>
        <w:t>beberapa kesimpulan yang diperoleh setalah terselesaikannya penelitian ini:</w:t>
      </w:r>
    </w:p>
    <w:p w:rsidR="00573181" w:rsidRDefault="00573181" w:rsidP="00573181">
      <w:pPr>
        <w:pStyle w:val="NoSpacing"/>
        <w:numPr>
          <w:ilvl w:val="0"/>
          <w:numId w:val="23"/>
        </w:numPr>
        <w:spacing w:line="360" w:lineRule="auto"/>
        <w:jc w:val="both"/>
        <w:rPr>
          <w:rFonts w:ascii="Times New Roman" w:hAnsi="Times New Roman"/>
          <w:color w:val="000000" w:themeColor="text1"/>
          <w:sz w:val="24"/>
          <w:szCs w:val="24"/>
          <w:lang w:val="en-US"/>
        </w:rPr>
      </w:pPr>
      <w:r>
        <w:rPr>
          <w:rFonts w:ascii="Times New Roman" w:hAnsi="Times New Roman"/>
          <w:color w:val="000000" w:themeColor="text1"/>
          <w:sz w:val="24"/>
          <w:szCs w:val="24"/>
          <w:lang w:val="en-US"/>
        </w:rPr>
        <w:t xml:space="preserve">Berikut adalah nilai </w:t>
      </w:r>
      <w:r w:rsidRPr="00E10387">
        <w:rPr>
          <w:rFonts w:ascii="Times New Roman" w:hAnsi="Times New Roman"/>
          <w:i/>
          <w:color w:val="000000" w:themeColor="text1"/>
          <w:sz w:val="24"/>
          <w:szCs w:val="24"/>
          <w:lang w:val="en-US"/>
        </w:rPr>
        <w:t>return</w:t>
      </w:r>
      <w:r>
        <w:rPr>
          <w:rFonts w:ascii="Times New Roman" w:hAnsi="Times New Roman"/>
          <w:color w:val="000000" w:themeColor="text1"/>
          <w:sz w:val="24"/>
          <w:szCs w:val="24"/>
          <w:lang w:val="en-US"/>
        </w:rPr>
        <w:t>,  resiko (VaR), dan komposisi saham syariah yang ada di Bursa Efek Indonesia (BEI) d</w:t>
      </w:r>
      <w:r w:rsidRPr="0062342E">
        <w:rPr>
          <w:rFonts w:ascii="Times New Roman" w:hAnsi="Times New Roman"/>
          <w:color w:val="000000" w:themeColor="text1"/>
          <w:sz w:val="24"/>
          <w:szCs w:val="24"/>
        </w:rPr>
        <w:t xml:space="preserve">ari periode Januari 2011 – Juni </w:t>
      </w:r>
      <w:r w:rsidRPr="0062342E">
        <w:rPr>
          <w:rFonts w:ascii="Times New Roman" w:hAnsi="Times New Roman"/>
          <w:color w:val="000000" w:themeColor="text1"/>
          <w:sz w:val="24"/>
          <w:szCs w:val="24"/>
        </w:rPr>
        <w:lastRenderedPageBreak/>
        <w:t>2013</w:t>
      </w:r>
      <w:r>
        <w:rPr>
          <w:rFonts w:ascii="Times New Roman" w:hAnsi="Times New Roman"/>
          <w:color w:val="000000" w:themeColor="text1"/>
          <w:sz w:val="24"/>
          <w:szCs w:val="24"/>
          <w:lang w:val="en-US"/>
        </w:rPr>
        <w:t xml:space="preserve"> yang memiliki </w:t>
      </w:r>
      <w:r>
        <w:rPr>
          <w:rFonts w:ascii="Times New Roman" w:hAnsi="Times New Roman"/>
          <w:i/>
          <w:color w:val="000000" w:themeColor="text1"/>
          <w:sz w:val="24"/>
          <w:szCs w:val="24"/>
          <w:lang w:val="en-US"/>
        </w:rPr>
        <w:t xml:space="preserve">return </w:t>
      </w:r>
      <w:r>
        <w:rPr>
          <w:rFonts w:ascii="Times New Roman" w:hAnsi="Times New Roman"/>
          <w:color w:val="000000" w:themeColor="text1"/>
          <w:sz w:val="24"/>
          <w:szCs w:val="24"/>
          <w:lang w:val="en-US"/>
        </w:rPr>
        <w:t>positif dalam membentuk portofolio dengan menggunakan VaR-CAPM</w:t>
      </w:r>
    </w:p>
    <w:tbl>
      <w:tblPr>
        <w:tblStyle w:val="TableGrid"/>
        <w:tblW w:w="4777" w:type="dxa"/>
        <w:jc w:val="center"/>
        <w:tblInd w:w="828" w:type="dxa"/>
        <w:tblLook w:val="04A0"/>
      </w:tblPr>
      <w:tblGrid>
        <w:gridCol w:w="545"/>
        <w:gridCol w:w="860"/>
        <w:gridCol w:w="1093"/>
        <w:gridCol w:w="1072"/>
        <w:gridCol w:w="1207"/>
      </w:tblGrid>
      <w:tr w:rsidR="00D51517" w:rsidRPr="00675BA0" w:rsidTr="00D51517">
        <w:trPr>
          <w:trHeight w:val="516"/>
          <w:jc w:val="center"/>
        </w:trPr>
        <w:tc>
          <w:tcPr>
            <w:tcW w:w="545" w:type="dxa"/>
            <w:shd w:val="clear" w:color="auto" w:fill="BFBFBF" w:themeFill="background1" w:themeFillShade="BF"/>
            <w:vAlign w:val="center"/>
          </w:tcPr>
          <w:p w:rsidR="00D51517" w:rsidRPr="00675BA0" w:rsidRDefault="00D51517" w:rsidP="008E649F">
            <w:pPr>
              <w:pStyle w:val="NoSpacing"/>
              <w:spacing w:line="276" w:lineRule="auto"/>
              <w:rPr>
                <w:b/>
                <w:lang w:val="en-US"/>
              </w:rPr>
            </w:pPr>
            <w:r w:rsidRPr="00675BA0">
              <w:rPr>
                <w:b/>
              </w:rPr>
              <w:t>No</w:t>
            </w:r>
          </w:p>
        </w:tc>
        <w:tc>
          <w:tcPr>
            <w:tcW w:w="860" w:type="dxa"/>
            <w:shd w:val="clear" w:color="auto" w:fill="BFBFBF" w:themeFill="background1" w:themeFillShade="BF"/>
            <w:vAlign w:val="center"/>
          </w:tcPr>
          <w:p w:rsidR="00D51517" w:rsidRPr="00675BA0" w:rsidRDefault="00D51517" w:rsidP="008E649F">
            <w:pPr>
              <w:pStyle w:val="NoSpacing"/>
              <w:spacing w:line="276" w:lineRule="auto"/>
              <w:rPr>
                <w:b/>
              </w:rPr>
            </w:pPr>
            <w:r w:rsidRPr="00675BA0">
              <w:rPr>
                <w:b/>
              </w:rPr>
              <w:t>Kode</w:t>
            </w:r>
          </w:p>
        </w:tc>
        <w:tc>
          <w:tcPr>
            <w:tcW w:w="1093" w:type="dxa"/>
            <w:shd w:val="clear" w:color="auto" w:fill="BFBFBF" w:themeFill="background1" w:themeFillShade="BF"/>
            <w:vAlign w:val="center"/>
          </w:tcPr>
          <w:p w:rsidR="00D51517" w:rsidRPr="00675BA0" w:rsidRDefault="00D51517" w:rsidP="008E649F">
            <w:pPr>
              <w:pStyle w:val="NoSpacing"/>
              <w:spacing w:line="276" w:lineRule="auto"/>
              <w:rPr>
                <w:b/>
                <w:i/>
                <w:lang w:val="en-US"/>
              </w:rPr>
            </w:pPr>
            <w:r w:rsidRPr="00675BA0">
              <w:rPr>
                <w:b/>
                <w:i/>
                <w:lang w:val="en-US"/>
              </w:rPr>
              <w:t>Return</w:t>
            </w:r>
          </w:p>
        </w:tc>
        <w:tc>
          <w:tcPr>
            <w:tcW w:w="1072" w:type="dxa"/>
            <w:shd w:val="clear" w:color="auto" w:fill="BFBFBF" w:themeFill="background1" w:themeFillShade="BF"/>
          </w:tcPr>
          <w:p w:rsidR="00D51517" w:rsidRPr="00675BA0" w:rsidRDefault="00D51517" w:rsidP="008E649F">
            <w:pPr>
              <w:pStyle w:val="NoSpacing"/>
              <w:spacing w:line="276" w:lineRule="auto"/>
              <w:jc w:val="center"/>
              <w:rPr>
                <w:b/>
                <w:lang w:val="en-US"/>
              </w:rPr>
            </w:pPr>
            <w:r w:rsidRPr="00675BA0">
              <w:rPr>
                <w:b/>
                <w:lang w:val="en-US"/>
              </w:rPr>
              <w:t>VaR-</w:t>
            </w:r>
          </w:p>
          <w:p w:rsidR="00D51517" w:rsidRPr="00675BA0" w:rsidRDefault="00D51517" w:rsidP="008E649F">
            <w:pPr>
              <w:pStyle w:val="NoSpacing"/>
              <w:spacing w:line="276" w:lineRule="auto"/>
              <w:jc w:val="center"/>
              <w:rPr>
                <w:b/>
                <w:lang w:val="en-US"/>
              </w:rPr>
            </w:pPr>
            <w:r w:rsidRPr="00675BA0">
              <w:rPr>
                <w:b/>
                <w:lang w:val="en-US"/>
              </w:rPr>
              <w:t>95%</w:t>
            </w:r>
          </w:p>
        </w:tc>
        <w:tc>
          <w:tcPr>
            <w:tcW w:w="1207" w:type="dxa"/>
            <w:shd w:val="clear" w:color="auto" w:fill="BFBFBF" w:themeFill="background1" w:themeFillShade="BF"/>
          </w:tcPr>
          <w:p w:rsidR="00D51517" w:rsidRPr="00675BA0" w:rsidRDefault="00D51517" w:rsidP="008E649F">
            <w:pPr>
              <w:pStyle w:val="NoSpacing"/>
              <w:spacing w:line="276" w:lineRule="auto"/>
              <w:jc w:val="center"/>
              <w:rPr>
                <w:b/>
                <w:lang w:val="en-US"/>
              </w:rPr>
            </w:pPr>
            <w:r>
              <w:rPr>
                <w:b/>
                <w:lang w:val="en-US"/>
              </w:rPr>
              <w:t>Komposisi (%)</w:t>
            </w:r>
          </w:p>
        </w:tc>
      </w:tr>
      <w:tr w:rsidR="00D51517" w:rsidRPr="0062342E" w:rsidTr="00D51517">
        <w:trPr>
          <w:jc w:val="center"/>
        </w:trPr>
        <w:tc>
          <w:tcPr>
            <w:tcW w:w="545" w:type="dxa"/>
            <w:vAlign w:val="center"/>
          </w:tcPr>
          <w:p w:rsidR="00D51517" w:rsidRPr="0062342E" w:rsidRDefault="00D51517" w:rsidP="008E649F">
            <w:pPr>
              <w:pStyle w:val="NoSpacing"/>
              <w:spacing w:line="276" w:lineRule="auto"/>
              <w:rPr>
                <w:lang w:val="en-US"/>
              </w:rPr>
            </w:pPr>
            <w:r w:rsidRPr="0062342E">
              <w:rPr>
                <w:lang w:val="en-US"/>
              </w:rPr>
              <w:t>1</w:t>
            </w:r>
          </w:p>
        </w:tc>
        <w:tc>
          <w:tcPr>
            <w:tcW w:w="860" w:type="dxa"/>
            <w:vAlign w:val="center"/>
          </w:tcPr>
          <w:p w:rsidR="00D51517" w:rsidRPr="0062342E" w:rsidRDefault="00D51517" w:rsidP="008E649F">
            <w:pPr>
              <w:pStyle w:val="NoSpacing"/>
              <w:spacing w:line="276" w:lineRule="auto"/>
            </w:pPr>
            <w:r w:rsidRPr="0062342E">
              <w:t>ASII</w:t>
            </w:r>
          </w:p>
        </w:tc>
        <w:tc>
          <w:tcPr>
            <w:tcW w:w="1093" w:type="dxa"/>
            <w:vAlign w:val="center"/>
          </w:tcPr>
          <w:p w:rsidR="00D51517" w:rsidRPr="0062342E" w:rsidRDefault="00D51517" w:rsidP="008E649F">
            <w:pPr>
              <w:pStyle w:val="NoSpacing"/>
              <w:spacing w:line="276" w:lineRule="auto"/>
            </w:pPr>
            <w:r w:rsidRPr="0062342E">
              <w:t>0.000398</w:t>
            </w:r>
          </w:p>
        </w:tc>
        <w:tc>
          <w:tcPr>
            <w:tcW w:w="1072" w:type="dxa"/>
            <w:vAlign w:val="bottom"/>
          </w:tcPr>
          <w:p w:rsidR="00D51517" w:rsidRPr="0062342E" w:rsidRDefault="00D51517" w:rsidP="008E649F">
            <w:pPr>
              <w:pStyle w:val="NoSpacing"/>
              <w:spacing w:line="276" w:lineRule="auto"/>
            </w:pPr>
            <w:r w:rsidRPr="0062342E">
              <w:t>0.033102</w:t>
            </w:r>
          </w:p>
        </w:tc>
        <w:tc>
          <w:tcPr>
            <w:tcW w:w="1207" w:type="dxa"/>
            <w:vAlign w:val="bottom"/>
          </w:tcPr>
          <w:p w:rsidR="00D51517" w:rsidRPr="00924BD1" w:rsidRDefault="00D51517" w:rsidP="008E649F">
            <w:pPr>
              <w:pStyle w:val="NoSpacing"/>
              <w:spacing w:line="276" w:lineRule="auto"/>
              <w:jc w:val="center"/>
              <w:rPr>
                <w:color w:val="000000"/>
              </w:rPr>
            </w:pPr>
            <w:r w:rsidRPr="00924BD1">
              <w:rPr>
                <w:color w:val="000000"/>
              </w:rPr>
              <w:t>23.18</w:t>
            </w:r>
          </w:p>
        </w:tc>
      </w:tr>
      <w:tr w:rsidR="00D51517" w:rsidRPr="0062342E" w:rsidTr="00D51517">
        <w:trPr>
          <w:jc w:val="center"/>
        </w:trPr>
        <w:tc>
          <w:tcPr>
            <w:tcW w:w="545" w:type="dxa"/>
            <w:vAlign w:val="center"/>
          </w:tcPr>
          <w:p w:rsidR="00D51517" w:rsidRPr="0062342E" w:rsidRDefault="00D51517" w:rsidP="008E649F">
            <w:pPr>
              <w:pStyle w:val="NoSpacing"/>
              <w:spacing w:line="276" w:lineRule="auto"/>
              <w:rPr>
                <w:lang w:val="en-US"/>
              </w:rPr>
            </w:pPr>
            <w:r w:rsidRPr="0062342E">
              <w:rPr>
                <w:lang w:val="en-US"/>
              </w:rPr>
              <w:t>2</w:t>
            </w:r>
          </w:p>
        </w:tc>
        <w:tc>
          <w:tcPr>
            <w:tcW w:w="860" w:type="dxa"/>
            <w:vAlign w:val="center"/>
          </w:tcPr>
          <w:p w:rsidR="00D51517" w:rsidRPr="0062342E" w:rsidRDefault="00D51517" w:rsidP="008E649F">
            <w:pPr>
              <w:pStyle w:val="NoSpacing"/>
              <w:spacing w:line="276" w:lineRule="auto"/>
              <w:rPr>
                <w:lang w:val="en-US"/>
              </w:rPr>
            </w:pPr>
            <w:r w:rsidRPr="0062342E">
              <w:rPr>
                <w:lang w:val="en-US"/>
              </w:rPr>
              <w:t>ASRI</w:t>
            </w:r>
          </w:p>
        </w:tc>
        <w:tc>
          <w:tcPr>
            <w:tcW w:w="1093" w:type="dxa"/>
            <w:vAlign w:val="center"/>
          </w:tcPr>
          <w:p w:rsidR="00D51517" w:rsidRPr="0062342E" w:rsidRDefault="00D51517" w:rsidP="008E649F">
            <w:pPr>
              <w:pStyle w:val="NoSpacing"/>
              <w:spacing w:line="276" w:lineRule="auto"/>
            </w:pPr>
            <w:r w:rsidRPr="0062342E">
              <w:t>0.001419</w:t>
            </w:r>
          </w:p>
        </w:tc>
        <w:tc>
          <w:tcPr>
            <w:tcW w:w="1072" w:type="dxa"/>
            <w:vAlign w:val="bottom"/>
          </w:tcPr>
          <w:p w:rsidR="00D51517" w:rsidRPr="0062342E" w:rsidRDefault="00D51517" w:rsidP="008E649F">
            <w:pPr>
              <w:pStyle w:val="NoSpacing"/>
              <w:spacing w:line="276" w:lineRule="auto"/>
            </w:pPr>
            <w:r w:rsidRPr="0062342E">
              <w:t>0.045355</w:t>
            </w:r>
          </w:p>
        </w:tc>
        <w:tc>
          <w:tcPr>
            <w:tcW w:w="1207" w:type="dxa"/>
            <w:vAlign w:val="bottom"/>
          </w:tcPr>
          <w:p w:rsidR="00D51517" w:rsidRPr="00924BD1" w:rsidRDefault="00D51517" w:rsidP="008E649F">
            <w:pPr>
              <w:pStyle w:val="NoSpacing"/>
              <w:spacing w:line="276" w:lineRule="auto"/>
              <w:jc w:val="center"/>
              <w:rPr>
                <w:color w:val="000000"/>
              </w:rPr>
            </w:pPr>
            <w:r w:rsidRPr="00924BD1">
              <w:rPr>
                <w:color w:val="000000"/>
              </w:rPr>
              <w:t>6.12</w:t>
            </w:r>
          </w:p>
        </w:tc>
      </w:tr>
      <w:tr w:rsidR="00D51517" w:rsidRPr="0062342E" w:rsidTr="00D51517">
        <w:trPr>
          <w:jc w:val="center"/>
        </w:trPr>
        <w:tc>
          <w:tcPr>
            <w:tcW w:w="545" w:type="dxa"/>
            <w:vAlign w:val="center"/>
          </w:tcPr>
          <w:p w:rsidR="00D51517" w:rsidRPr="0062342E" w:rsidRDefault="00D51517" w:rsidP="008E649F">
            <w:pPr>
              <w:pStyle w:val="NoSpacing"/>
              <w:spacing w:line="276" w:lineRule="auto"/>
              <w:rPr>
                <w:lang w:val="en-US"/>
              </w:rPr>
            </w:pPr>
            <w:r w:rsidRPr="0062342E">
              <w:rPr>
                <w:lang w:val="en-US"/>
              </w:rPr>
              <w:t>3</w:t>
            </w:r>
          </w:p>
        </w:tc>
        <w:tc>
          <w:tcPr>
            <w:tcW w:w="860" w:type="dxa"/>
            <w:vAlign w:val="center"/>
          </w:tcPr>
          <w:p w:rsidR="00D51517" w:rsidRPr="0062342E" w:rsidRDefault="00D51517" w:rsidP="008E649F">
            <w:pPr>
              <w:pStyle w:val="NoSpacing"/>
              <w:spacing w:line="276" w:lineRule="auto"/>
              <w:rPr>
                <w:lang w:val="en-US"/>
              </w:rPr>
            </w:pPr>
            <w:r w:rsidRPr="0062342E">
              <w:rPr>
                <w:lang w:val="en-US"/>
              </w:rPr>
              <w:t>CPIN</w:t>
            </w:r>
          </w:p>
        </w:tc>
        <w:tc>
          <w:tcPr>
            <w:tcW w:w="1093" w:type="dxa"/>
            <w:vAlign w:val="center"/>
          </w:tcPr>
          <w:p w:rsidR="00D51517" w:rsidRPr="0062342E" w:rsidRDefault="00D51517" w:rsidP="008E649F">
            <w:pPr>
              <w:pStyle w:val="NoSpacing"/>
              <w:spacing w:line="276" w:lineRule="auto"/>
            </w:pPr>
            <w:r w:rsidRPr="0062342E">
              <w:t>0.001667</w:t>
            </w:r>
          </w:p>
        </w:tc>
        <w:tc>
          <w:tcPr>
            <w:tcW w:w="1072" w:type="dxa"/>
            <w:vAlign w:val="bottom"/>
          </w:tcPr>
          <w:p w:rsidR="00D51517" w:rsidRPr="0062342E" w:rsidRDefault="00D51517" w:rsidP="008E649F">
            <w:pPr>
              <w:pStyle w:val="NoSpacing"/>
              <w:spacing w:line="276" w:lineRule="auto"/>
            </w:pPr>
            <w:r w:rsidRPr="0062342E">
              <w:t>0.045949</w:t>
            </w:r>
          </w:p>
        </w:tc>
        <w:tc>
          <w:tcPr>
            <w:tcW w:w="1207" w:type="dxa"/>
            <w:vAlign w:val="bottom"/>
          </w:tcPr>
          <w:p w:rsidR="00D51517" w:rsidRPr="00924BD1" w:rsidRDefault="00D51517" w:rsidP="008E649F">
            <w:pPr>
              <w:pStyle w:val="NoSpacing"/>
              <w:spacing w:line="276" w:lineRule="auto"/>
              <w:jc w:val="center"/>
              <w:rPr>
                <w:color w:val="000000"/>
              </w:rPr>
            </w:pPr>
            <w:r w:rsidRPr="00924BD1">
              <w:rPr>
                <w:color w:val="000000"/>
              </w:rPr>
              <w:t>11.07</w:t>
            </w:r>
          </w:p>
        </w:tc>
      </w:tr>
      <w:tr w:rsidR="00D51517" w:rsidRPr="0062342E" w:rsidTr="00D51517">
        <w:trPr>
          <w:jc w:val="center"/>
        </w:trPr>
        <w:tc>
          <w:tcPr>
            <w:tcW w:w="545" w:type="dxa"/>
            <w:vAlign w:val="center"/>
          </w:tcPr>
          <w:p w:rsidR="00D51517" w:rsidRPr="0062342E" w:rsidRDefault="00D51517" w:rsidP="008E649F">
            <w:pPr>
              <w:pStyle w:val="NoSpacing"/>
              <w:spacing w:line="276" w:lineRule="auto"/>
              <w:rPr>
                <w:lang w:val="en-US"/>
              </w:rPr>
            </w:pPr>
            <w:r w:rsidRPr="0062342E">
              <w:rPr>
                <w:lang w:val="en-US"/>
              </w:rPr>
              <w:t>4</w:t>
            </w:r>
          </w:p>
        </w:tc>
        <w:tc>
          <w:tcPr>
            <w:tcW w:w="860" w:type="dxa"/>
            <w:vAlign w:val="center"/>
          </w:tcPr>
          <w:p w:rsidR="00D51517" w:rsidRPr="0062342E" w:rsidRDefault="00D51517" w:rsidP="008E649F">
            <w:pPr>
              <w:pStyle w:val="NoSpacing"/>
              <w:spacing w:line="276" w:lineRule="auto"/>
            </w:pPr>
            <w:r w:rsidRPr="0062342E">
              <w:t>INTP</w:t>
            </w:r>
          </w:p>
        </w:tc>
        <w:tc>
          <w:tcPr>
            <w:tcW w:w="1093" w:type="dxa"/>
            <w:vAlign w:val="center"/>
          </w:tcPr>
          <w:p w:rsidR="00D51517" w:rsidRPr="0062342E" w:rsidRDefault="00D51517" w:rsidP="008E649F">
            <w:pPr>
              <w:pStyle w:val="NoSpacing"/>
              <w:spacing w:line="276" w:lineRule="auto"/>
            </w:pPr>
            <w:r w:rsidRPr="0062342E">
              <w:t>0.000664</w:t>
            </w:r>
          </w:p>
        </w:tc>
        <w:tc>
          <w:tcPr>
            <w:tcW w:w="1072" w:type="dxa"/>
            <w:vAlign w:val="bottom"/>
          </w:tcPr>
          <w:p w:rsidR="00D51517" w:rsidRPr="0062342E" w:rsidRDefault="00D51517" w:rsidP="008E649F">
            <w:pPr>
              <w:pStyle w:val="NoSpacing"/>
              <w:spacing w:line="276" w:lineRule="auto"/>
            </w:pPr>
            <w:r w:rsidRPr="0062342E">
              <w:t>0.038466</w:t>
            </w:r>
          </w:p>
        </w:tc>
        <w:tc>
          <w:tcPr>
            <w:tcW w:w="1207" w:type="dxa"/>
            <w:vAlign w:val="bottom"/>
          </w:tcPr>
          <w:p w:rsidR="00D51517" w:rsidRPr="00924BD1" w:rsidRDefault="00D51517" w:rsidP="008E649F">
            <w:pPr>
              <w:pStyle w:val="NoSpacing"/>
              <w:spacing w:line="276" w:lineRule="auto"/>
              <w:jc w:val="center"/>
              <w:rPr>
                <w:color w:val="000000"/>
              </w:rPr>
            </w:pPr>
            <w:r w:rsidRPr="00924BD1">
              <w:rPr>
                <w:color w:val="000000"/>
              </w:rPr>
              <w:t>14.13</w:t>
            </w:r>
          </w:p>
        </w:tc>
      </w:tr>
      <w:tr w:rsidR="00D51517" w:rsidRPr="0062342E" w:rsidTr="00D51517">
        <w:trPr>
          <w:jc w:val="center"/>
        </w:trPr>
        <w:tc>
          <w:tcPr>
            <w:tcW w:w="545" w:type="dxa"/>
            <w:vAlign w:val="center"/>
          </w:tcPr>
          <w:p w:rsidR="00D51517" w:rsidRPr="0062342E" w:rsidRDefault="00D51517" w:rsidP="008E649F">
            <w:pPr>
              <w:pStyle w:val="NoSpacing"/>
              <w:spacing w:line="276" w:lineRule="auto"/>
              <w:rPr>
                <w:lang w:val="en-US"/>
              </w:rPr>
            </w:pPr>
            <w:r w:rsidRPr="0062342E">
              <w:rPr>
                <w:lang w:val="en-US"/>
              </w:rPr>
              <w:t>5</w:t>
            </w:r>
          </w:p>
        </w:tc>
        <w:tc>
          <w:tcPr>
            <w:tcW w:w="860" w:type="dxa"/>
            <w:vAlign w:val="center"/>
          </w:tcPr>
          <w:p w:rsidR="00D51517" w:rsidRPr="0062342E" w:rsidRDefault="00D51517" w:rsidP="008E649F">
            <w:pPr>
              <w:pStyle w:val="NoSpacing"/>
              <w:spacing w:line="276" w:lineRule="auto"/>
            </w:pPr>
            <w:r w:rsidRPr="0062342E">
              <w:t>KLBF</w:t>
            </w:r>
          </w:p>
        </w:tc>
        <w:tc>
          <w:tcPr>
            <w:tcW w:w="1093" w:type="dxa"/>
            <w:vAlign w:val="center"/>
          </w:tcPr>
          <w:p w:rsidR="00D51517" w:rsidRPr="0062342E" w:rsidRDefault="00D51517" w:rsidP="008E649F">
            <w:pPr>
              <w:pStyle w:val="NoSpacing"/>
              <w:spacing w:line="276" w:lineRule="auto"/>
            </w:pPr>
            <w:r w:rsidRPr="0062342E">
              <w:t>0.001219</w:t>
            </w:r>
          </w:p>
        </w:tc>
        <w:tc>
          <w:tcPr>
            <w:tcW w:w="1072" w:type="dxa"/>
            <w:vAlign w:val="bottom"/>
          </w:tcPr>
          <w:p w:rsidR="00D51517" w:rsidRPr="0062342E" w:rsidRDefault="00D51517" w:rsidP="008E649F">
            <w:pPr>
              <w:pStyle w:val="NoSpacing"/>
              <w:spacing w:line="276" w:lineRule="auto"/>
            </w:pPr>
            <w:r w:rsidRPr="0062342E">
              <w:t>0.036501</w:t>
            </w:r>
          </w:p>
        </w:tc>
        <w:tc>
          <w:tcPr>
            <w:tcW w:w="1207" w:type="dxa"/>
            <w:vAlign w:val="bottom"/>
          </w:tcPr>
          <w:p w:rsidR="00D51517" w:rsidRPr="00924BD1" w:rsidRDefault="00D51517" w:rsidP="008E649F">
            <w:pPr>
              <w:pStyle w:val="NoSpacing"/>
              <w:spacing w:line="276" w:lineRule="auto"/>
              <w:jc w:val="center"/>
              <w:rPr>
                <w:color w:val="000000"/>
              </w:rPr>
            </w:pPr>
            <w:r w:rsidRPr="00924BD1">
              <w:rPr>
                <w:color w:val="000000"/>
              </w:rPr>
              <w:t>8.83</w:t>
            </w:r>
          </w:p>
        </w:tc>
      </w:tr>
      <w:tr w:rsidR="00D51517" w:rsidRPr="0062342E" w:rsidTr="00D51517">
        <w:trPr>
          <w:jc w:val="center"/>
        </w:trPr>
        <w:tc>
          <w:tcPr>
            <w:tcW w:w="545" w:type="dxa"/>
            <w:vAlign w:val="center"/>
          </w:tcPr>
          <w:p w:rsidR="00D51517" w:rsidRPr="0062342E" w:rsidRDefault="00D51517" w:rsidP="008E649F">
            <w:pPr>
              <w:pStyle w:val="NoSpacing"/>
              <w:spacing w:line="276" w:lineRule="auto"/>
              <w:rPr>
                <w:lang w:val="en-US"/>
              </w:rPr>
            </w:pPr>
            <w:r w:rsidRPr="0062342E">
              <w:rPr>
                <w:lang w:val="en-US"/>
              </w:rPr>
              <w:t>6</w:t>
            </w:r>
          </w:p>
        </w:tc>
        <w:tc>
          <w:tcPr>
            <w:tcW w:w="860" w:type="dxa"/>
            <w:vAlign w:val="center"/>
          </w:tcPr>
          <w:p w:rsidR="00D51517" w:rsidRPr="0062342E" w:rsidRDefault="00D51517" w:rsidP="008E649F">
            <w:pPr>
              <w:pStyle w:val="NoSpacing"/>
              <w:spacing w:line="276" w:lineRule="auto"/>
              <w:rPr>
                <w:lang w:val="en-US"/>
              </w:rPr>
            </w:pPr>
            <w:r w:rsidRPr="0062342E">
              <w:rPr>
                <w:lang w:val="en-US"/>
              </w:rPr>
              <w:t>LPKR</w:t>
            </w:r>
          </w:p>
        </w:tc>
        <w:tc>
          <w:tcPr>
            <w:tcW w:w="1093" w:type="dxa"/>
            <w:vAlign w:val="center"/>
          </w:tcPr>
          <w:p w:rsidR="00D51517" w:rsidRPr="0062342E" w:rsidRDefault="00D51517" w:rsidP="008E649F">
            <w:pPr>
              <w:pStyle w:val="NoSpacing"/>
              <w:spacing w:line="276" w:lineRule="auto"/>
            </w:pPr>
            <w:r w:rsidRPr="0062342E">
              <w:t>0.001201</w:t>
            </w:r>
          </w:p>
        </w:tc>
        <w:tc>
          <w:tcPr>
            <w:tcW w:w="1072" w:type="dxa"/>
            <w:vAlign w:val="bottom"/>
          </w:tcPr>
          <w:p w:rsidR="00D51517" w:rsidRPr="0062342E" w:rsidRDefault="00D51517" w:rsidP="008E649F">
            <w:pPr>
              <w:pStyle w:val="NoSpacing"/>
              <w:spacing w:line="276" w:lineRule="auto"/>
            </w:pPr>
            <w:r w:rsidRPr="0062342E">
              <w:t>0.036606</w:t>
            </w:r>
          </w:p>
        </w:tc>
        <w:tc>
          <w:tcPr>
            <w:tcW w:w="1207" w:type="dxa"/>
            <w:vAlign w:val="bottom"/>
          </w:tcPr>
          <w:p w:rsidR="00D51517" w:rsidRPr="00924BD1" w:rsidRDefault="00D51517" w:rsidP="008E649F">
            <w:pPr>
              <w:pStyle w:val="NoSpacing"/>
              <w:spacing w:line="276" w:lineRule="auto"/>
              <w:jc w:val="center"/>
              <w:rPr>
                <w:color w:val="000000"/>
              </w:rPr>
            </w:pPr>
            <w:r w:rsidRPr="00924BD1">
              <w:rPr>
                <w:color w:val="000000"/>
              </w:rPr>
              <w:t>9.65</w:t>
            </w:r>
          </w:p>
        </w:tc>
      </w:tr>
      <w:tr w:rsidR="00D51517" w:rsidRPr="0062342E" w:rsidTr="00D51517">
        <w:trPr>
          <w:jc w:val="center"/>
        </w:trPr>
        <w:tc>
          <w:tcPr>
            <w:tcW w:w="545" w:type="dxa"/>
            <w:vAlign w:val="center"/>
          </w:tcPr>
          <w:p w:rsidR="00D51517" w:rsidRPr="0062342E" w:rsidRDefault="00D51517" w:rsidP="008E649F">
            <w:pPr>
              <w:pStyle w:val="NoSpacing"/>
              <w:spacing w:line="276" w:lineRule="auto"/>
              <w:rPr>
                <w:lang w:val="en-US"/>
              </w:rPr>
            </w:pPr>
            <w:r w:rsidRPr="0062342E">
              <w:rPr>
                <w:lang w:val="en-US"/>
              </w:rPr>
              <w:t>7</w:t>
            </w:r>
          </w:p>
        </w:tc>
        <w:tc>
          <w:tcPr>
            <w:tcW w:w="860" w:type="dxa"/>
            <w:vAlign w:val="center"/>
          </w:tcPr>
          <w:p w:rsidR="00D51517" w:rsidRPr="0062342E" w:rsidRDefault="00D51517" w:rsidP="008E649F">
            <w:pPr>
              <w:pStyle w:val="NoSpacing"/>
              <w:spacing w:line="276" w:lineRule="auto"/>
            </w:pPr>
            <w:r w:rsidRPr="0062342E">
              <w:t>SMGR</w:t>
            </w:r>
          </w:p>
        </w:tc>
        <w:tc>
          <w:tcPr>
            <w:tcW w:w="1093" w:type="dxa"/>
            <w:vAlign w:val="center"/>
          </w:tcPr>
          <w:p w:rsidR="00D51517" w:rsidRPr="0062342E" w:rsidRDefault="00D51517" w:rsidP="008E649F">
            <w:pPr>
              <w:pStyle w:val="NoSpacing"/>
              <w:spacing w:line="276" w:lineRule="auto"/>
            </w:pPr>
            <w:r w:rsidRPr="0062342E">
              <w:t>0.000870</w:t>
            </w:r>
          </w:p>
        </w:tc>
        <w:tc>
          <w:tcPr>
            <w:tcW w:w="1072" w:type="dxa"/>
            <w:vAlign w:val="bottom"/>
          </w:tcPr>
          <w:p w:rsidR="00D51517" w:rsidRPr="0062342E" w:rsidRDefault="00D51517" w:rsidP="008E649F">
            <w:pPr>
              <w:pStyle w:val="NoSpacing"/>
              <w:spacing w:line="276" w:lineRule="auto"/>
            </w:pPr>
            <w:r w:rsidRPr="0062342E">
              <w:t>0.034709</w:t>
            </w:r>
          </w:p>
        </w:tc>
        <w:tc>
          <w:tcPr>
            <w:tcW w:w="1207" w:type="dxa"/>
            <w:vAlign w:val="bottom"/>
          </w:tcPr>
          <w:p w:rsidR="00D51517" w:rsidRPr="00924BD1" w:rsidRDefault="00D51517" w:rsidP="008E649F">
            <w:pPr>
              <w:pStyle w:val="NoSpacing"/>
              <w:spacing w:line="276" w:lineRule="auto"/>
              <w:jc w:val="center"/>
              <w:rPr>
                <w:color w:val="000000"/>
              </w:rPr>
            </w:pPr>
            <w:r w:rsidRPr="00924BD1">
              <w:rPr>
                <w:color w:val="000000"/>
              </w:rPr>
              <w:t>7.</w:t>
            </w:r>
            <w:r>
              <w:rPr>
                <w:color w:val="000000"/>
              </w:rPr>
              <w:t>10</w:t>
            </w:r>
          </w:p>
        </w:tc>
      </w:tr>
      <w:tr w:rsidR="00D51517" w:rsidRPr="0062342E" w:rsidTr="00D51517">
        <w:trPr>
          <w:jc w:val="center"/>
        </w:trPr>
        <w:tc>
          <w:tcPr>
            <w:tcW w:w="545" w:type="dxa"/>
            <w:vAlign w:val="center"/>
          </w:tcPr>
          <w:p w:rsidR="00D51517" w:rsidRPr="0062342E" w:rsidRDefault="00D51517" w:rsidP="008E649F">
            <w:pPr>
              <w:pStyle w:val="NoSpacing"/>
              <w:spacing w:line="276" w:lineRule="auto"/>
              <w:rPr>
                <w:lang w:val="en-US"/>
              </w:rPr>
            </w:pPr>
            <w:r w:rsidRPr="0062342E">
              <w:rPr>
                <w:lang w:val="en-US"/>
              </w:rPr>
              <w:t>8</w:t>
            </w:r>
          </w:p>
        </w:tc>
        <w:tc>
          <w:tcPr>
            <w:tcW w:w="860" w:type="dxa"/>
            <w:vAlign w:val="center"/>
          </w:tcPr>
          <w:p w:rsidR="00D51517" w:rsidRPr="0062342E" w:rsidRDefault="00D51517" w:rsidP="008E649F">
            <w:pPr>
              <w:pStyle w:val="NoSpacing"/>
              <w:spacing w:line="276" w:lineRule="auto"/>
            </w:pPr>
            <w:r w:rsidRPr="0062342E">
              <w:t>TLKM</w:t>
            </w:r>
          </w:p>
        </w:tc>
        <w:tc>
          <w:tcPr>
            <w:tcW w:w="1093" w:type="dxa"/>
            <w:vAlign w:val="center"/>
          </w:tcPr>
          <w:p w:rsidR="00D51517" w:rsidRPr="0062342E" w:rsidRDefault="00D51517" w:rsidP="008E649F">
            <w:pPr>
              <w:pStyle w:val="NoSpacing"/>
              <w:spacing w:line="276" w:lineRule="auto"/>
            </w:pPr>
            <w:r w:rsidRPr="0062342E">
              <w:t>0.000538</w:t>
            </w:r>
          </w:p>
        </w:tc>
        <w:tc>
          <w:tcPr>
            <w:tcW w:w="1072" w:type="dxa"/>
            <w:vAlign w:val="bottom"/>
          </w:tcPr>
          <w:p w:rsidR="00D51517" w:rsidRPr="0062342E" w:rsidRDefault="00D51517" w:rsidP="008E649F">
            <w:pPr>
              <w:pStyle w:val="NoSpacing"/>
              <w:spacing w:line="276" w:lineRule="auto"/>
            </w:pPr>
            <w:r w:rsidRPr="0062342E">
              <w:t>0.030160</w:t>
            </w:r>
          </w:p>
        </w:tc>
        <w:tc>
          <w:tcPr>
            <w:tcW w:w="1207" w:type="dxa"/>
            <w:vAlign w:val="bottom"/>
          </w:tcPr>
          <w:p w:rsidR="00D51517" w:rsidRPr="00924BD1" w:rsidRDefault="00D51517" w:rsidP="008E649F">
            <w:pPr>
              <w:pStyle w:val="NoSpacing"/>
              <w:spacing w:line="276" w:lineRule="auto"/>
              <w:jc w:val="center"/>
              <w:rPr>
                <w:color w:val="000000"/>
              </w:rPr>
            </w:pPr>
            <w:r w:rsidRPr="00924BD1">
              <w:rPr>
                <w:color w:val="000000"/>
              </w:rPr>
              <w:t>9.</w:t>
            </w:r>
            <w:r>
              <w:rPr>
                <w:color w:val="000000"/>
              </w:rPr>
              <w:t>90</w:t>
            </w:r>
          </w:p>
        </w:tc>
      </w:tr>
      <w:tr w:rsidR="00D51517" w:rsidRPr="0062342E" w:rsidTr="00D51517">
        <w:trPr>
          <w:jc w:val="center"/>
        </w:trPr>
        <w:tc>
          <w:tcPr>
            <w:tcW w:w="545" w:type="dxa"/>
            <w:vAlign w:val="center"/>
          </w:tcPr>
          <w:p w:rsidR="00D51517" w:rsidRPr="0062342E" w:rsidRDefault="00D51517" w:rsidP="008E649F">
            <w:pPr>
              <w:pStyle w:val="NoSpacing"/>
              <w:spacing w:line="276" w:lineRule="auto"/>
              <w:rPr>
                <w:lang w:val="en-US"/>
              </w:rPr>
            </w:pPr>
            <w:r w:rsidRPr="0062342E">
              <w:rPr>
                <w:lang w:val="en-US"/>
              </w:rPr>
              <w:t>9</w:t>
            </w:r>
          </w:p>
        </w:tc>
        <w:tc>
          <w:tcPr>
            <w:tcW w:w="860" w:type="dxa"/>
            <w:vAlign w:val="center"/>
          </w:tcPr>
          <w:p w:rsidR="00D51517" w:rsidRPr="0062342E" w:rsidRDefault="00D51517" w:rsidP="008E649F">
            <w:pPr>
              <w:pStyle w:val="NoSpacing"/>
              <w:spacing w:line="276" w:lineRule="auto"/>
            </w:pPr>
            <w:r w:rsidRPr="0062342E">
              <w:t>UNVR</w:t>
            </w:r>
          </w:p>
        </w:tc>
        <w:tc>
          <w:tcPr>
            <w:tcW w:w="1093" w:type="dxa"/>
            <w:vAlign w:val="center"/>
          </w:tcPr>
          <w:p w:rsidR="00D51517" w:rsidRPr="0062342E" w:rsidRDefault="00D51517" w:rsidP="008E649F">
            <w:pPr>
              <w:pStyle w:val="NoSpacing"/>
              <w:spacing w:line="276" w:lineRule="auto"/>
            </w:pPr>
            <w:r w:rsidRPr="0062342E">
              <w:t>0.001026</w:t>
            </w:r>
          </w:p>
        </w:tc>
        <w:tc>
          <w:tcPr>
            <w:tcW w:w="1072" w:type="dxa"/>
            <w:vAlign w:val="bottom"/>
          </w:tcPr>
          <w:p w:rsidR="00D51517" w:rsidRPr="0062342E" w:rsidRDefault="00D51517" w:rsidP="008E649F">
            <w:pPr>
              <w:pStyle w:val="NoSpacing"/>
              <w:spacing w:line="276" w:lineRule="auto"/>
            </w:pPr>
            <w:r w:rsidRPr="0062342E">
              <w:t>0.036141</w:t>
            </w:r>
          </w:p>
        </w:tc>
        <w:tc>
          <w:tcPr>
            <w:tcW w:w="1207" w:type="dxa"/>
            <w:vAlign w:val="bottom"/>
          </w:tcPr>
          <w:p w:rsidR="00D51517" w:rsidRPr="00924BD1" w:rsidRDefault="00D51517" w:rsidP="008E649F">
            <w:pPr>
              <w:pStyle w:val="NoSpacing"/>
              <w:spacing w:line="276" w:lineRule="auto"/>
              <w:jc w:val="center"/>
              <w:rPr>
                <w:color w:val="000000"/>
              </w:rPr>
            </w:pPr>
            <w:r w:rsidRPr="00924BD1">
              <w:rPr>
                <w:color w:val="000000"/>
              </w:rPr>
              <w:t>10.</w:t>
            </w:r>
            <w:r>
              <w:rPr>
                <w:color w:val="000000"/>
              </w:rPr>
              <w:t>10</w:t>
            </w:r>
          </w:p>
        </w:tc>
      </w:tr>
    </w:tbl>
    <w:p w:rsidR="00573181" w:rsidRDefault="00573181" w:rsidP="00573181">
      <w:pPr>
        <w:pStyle w:val="NoSpacing"/>
        <w:spacing w:line="480" w:lineRule="auto"/>
        <w:jc w:val="both"/>
        <w:rPr>
          <w:rFonts w:ascii="Times New Roman" w:hAnsi="Times New Roman"/>
          <w:color w:val="000000" w:themeColor="text1"/>
          <w:sz w:val="24"/>
          <w:szCs w:val="24"/>
          <w:lang w:val="en-US"/>
        </w:rPr>
      </w:pPr>
    </w:p>
    <w:p w:rsidR="00D51517" w:rsidRDefault="00D51517" w:rsidP="00D51517">
      <w:pPr>
        <w:pStyle w:val="BodyTextIndent"/>
        <w:tabs>
          <w:tab w:val="left" w:pos="1134"/>
        </w:tabs>
        <w:spacing w:line="360" w:lineRule="auto"/>
        <w:ind w:firstLine="0"/>
        <w:rPr>
          <w:lang w:val="en-US"/>
        </w:rPr>
      </w:pPr>
      <w:r>
        <w:rPr>
          <w:rFonts w:asciiTheme="majorBidi" w:hAnsiTheme="majorBidi" w:cstheme="majorBidi"/>
          <w:bCs/>
          <w:lang w:val="en-US"/>
        </w:rPr>
        <w:t xml:space="preserve">Pada tingkat kepercayaan 95%, portofoloio tersebut </w:t>
      </w:r>
      <w:proofErr w:type="gramStart"/>
      <w:r>
        <w:rPr>
          <w:lang w:val="en-US"/>
        </w:rPr>
        <w:t>akan</w:t>
      </w:r>
      <w:proofErr w:type="gramEnd"/>
      <w:r>
        <w:rPr>
          <w:lang w:val="en-US"/>
        </w:rPr>
        <w:t xml:space="preserve"> memberikan keuntungan 0.088% setiap harinya dengan resiko kehilangan dana terbesar adalah 2.8671%</w:t>
      </w:r>
    </w:p>
    <w:p w:rsidR="00D51517" w:rsidRPr="00D51517" w:rsidRDefault="00D51517" w:rsidP="00D51517">
      <w:pPr>
        <w:pStyle w:val="BodyTextIndent"/>
        <w:numPr>
          <w:ilvl w:val="0"/>
          <w:numId w:val="23"/>
        </w:numPr>
        <w:tabs>
          <w:tab w:val="left" w:pos="1134"/>
        </w:tabs>
        <w:spacing w:line="360" w:lineRule="auto"/>
        <w:rPr>
          <w:lang w:val="en-US"/>
        </w:rPr>
      </w:pPr>
      <w:r>
        <w:rPr>
          <w:color w:val="000000" w:themeColor="text1"/>
        </w:rPr>
        <w:t xml:space="preserve">Berdasarkan evaluasi kinerja portofolio selama 2 (dua) bulan (1 Juli 2013 – 30 Agustus 2013), diketahui </w:t>
      </w:r>
      <w:r>
        <w:rPr>
          <w:color w:val="000000" w:themeColor="text1"/>
          <w:lang w:val="en-US"/>
        </w:rPr>
        <w:t>portofolio mengalami kerugian, yaitu mencapai 0.37%. Hal ini disebabkan karena adanya krisis ekonomi global yang ikut mempengaruhi pasar modal Indonesia.</w:t>
      </w:r>
    </w:p>
    <w:p w:rsidR="00D51517" w:rsidRDefault="00D51517" w:rsidP="00D51517">
      <w:pPr>
        <w:pStyle w:val="NoSpacing"/>
        <w:spacing w:line="360" w:lineRule="auto"/>
        <w:jc w:val="both"/>
        <w:rPr>
          <w:rFonts w:ascii="Times New Roman" w:hAnsi="Times New Roman"/>
          <w:b/>
          <w:sz w:val="24"/>
          <w:szCs w:val="24"/>
          <w:lang w:val="en-US"/>
        </w:rPr>
      </w:pPr>
    </w:p>
    <w:p w:rsidR="00D51517" w:rsidRPr="006F6DEE" w:rsidRDefault="00D51517" w:rsidP="00D51517">
      <w:pPr>
        <w:pStyle w:val="NoSpacing"/>
        <w:spacing w:line="360" w:lineRule="auto"/>
        <w:jc w:val="both"/>
        <w:rPr>
          <w:rFonts w:ascii="Times New Roman" w:hAnsi="Times New Roman"/>
          <w:b/>
          <w:sz w:val="24"/>
          <w:szCs w:val="24"/>
        </w:rPr>
      </w:pPr>
      <w:r w:rsidRPr="006F6DEE">
        <w:rPr>
          <w:rFonts w:ascii="Times New Roman" w:hAnsi="Times New Roman"/>
          <w:b/>
          <w:sz w:val="24"/>
          <w:szCs w:val="24"/>
        </w:rPr>
        <w:t>REFERENSI</w:t>
      </w:r>
    </w:p>
    <w:p w:rsidR="00D51517" w:rsidRPr="0073709D" w:rsidRDefault="00D51517" w:rsidP="00D51517">
      <w:pPr>
        <w:pStyle w:val="NoSpacing"/>
        <w:spacing w:line="360" w:lineRule="auto"/>
        <w:ind w:left="567" w:hanging="567"/>
        <w:jc w:val="both"/>
        <w:rPr>
          <w:rFonts w:ascii="Times New Roman" w:hAnsi="Times New Roman"/>
          <w:sz w:val="24"/>
          <w:szCs w:val="24"/>
          <w:lang w:val="en-US"/>
        </w:rPr>
      </w:pPr>
      <w:proofErr w:type="gramStart"/>
      <w:r w:rsidRPr="0073709D">
        <w:rPr>
          <w:rFonts w:ascii="Times New Roman" w:hAnsi="Times New Roman"/>
          <w:sz w:val="24"/>
          <w:szCs w:val="24"/>
          <w:lang w:val="en-US"/>
        </w:rPr>
        <w:t>Akadeniz, Levent, Alihan Altay Salih, and Kursat Ayodyan, 2000.</w:t>
      </w:r>
      <w:proofErr w:type="gramEnd"/>
      <w:r w:rsidRPr="0073709D">
        <w:rPr>
          <w:rFonts w:ascii="Times New Roman" w:hAnsi="Times New Roman"/>
          <w:sz w:val="24"/>
          <w:szCs w:val="24"/>
          <w:lang w:val="en-US"/>
        </w:rPr>
        <w:t xml:space="preserve"> </w:t>
      </w:r>
      <w:proofErr w:type="gramStart"/>
      <w:r w:rsidRPr="0073709D">
        <w:rPr>
          <w:rFonts w:ascii="Times New Roman" w:hAnsi="Times New Roman"/>
          <w:i/>
          <w:sz w:val="24"/>
          <w:szCs w:val="24"/>
          <w:lang w:val="en-US"/>
        </w:rPr>
        <w:t>A Cross Section of Expected Return on Istanbul Stock Excange</w:t>
      </w:r>
      <w:r w:rsidRPr="0073709D">
        <w:rPr>
          <w:rFonts w:ascii="Times New Roman" w:hAnsi="Times New Roman"/>
          <w:sz w:val="24"/>
          <w:szCs w:val="24"/>
          <w:lang w:val="en-US"/>
        </w:rPr>
        <w:t>.</w:t>
      </w:r>
      <w:proofErr w:type="gramEnd"/>
      <w:r w:rsidRPr="0073709D">
        <w:rPr>
          <w:rFonts w:ascii="Times New Roman" w:hAnsi="Times New Roman"/>
          <w:sz w:val="24"/>
          <w:szCs w:val="24"/>
          <w:lang w:val="en-US"/>
        </w:rPr>
        <w:t xml:space="preserve"> </w:t>
      </w:r>
      <w:proofErr w:type="gramStart"/>
      <w:r w:rsidRPr="0073709D">
        <w:rPr>
          <w:rFonts w:ascii="Times New Roman" w:hAnsi="Times New Roman"/>
          <w:sz w:val="24"/>
          <w:szCs w:val="24"/>
          <w:lang w:val="en-US"/>
        </w:rPr>
        <w:t>Bilkent University.</w:t>
      </w:r>
      <w:proofErr w:type="gramEnd"/>
    </w:p>
    <w:p w:rsidR="00D51517" w:rsidRPr="0073709D" w:rsidRDefault="00D51517" w:rsidP="00D51517">
      <w:pPr>
        <w:pStyle w:val="NoSpacing"/>
        <w:spacing w:line="360" w:lineRule="auto"/>
        <w:ind w:left="567" w:hanging="567"/>
        <w:jc w:val="both"/>
        <w:rPr>
          <w:rFonts w:ascii="Times New Roman" w:hAnsi="Times New Roman"/>
          <w:sz w:val="24"/>
          <w:szCs w:val="24"/>
          <w:lang w:val="en-US"/>
        </w:rPr>
      </w:pPr>
      <w:r w:rsidRPr="0073709D">
        <w:rPr>
          <w:rFonts w:ascii="Times New Roman" w:hAnsi="Times New Roman"/>
          <w:i/>
          <w:sz w:val="24"/>
          <w:szCs w:val="24"/>
          <w:lang w:val="en-US"/>
        </w:rPr>
        <w:t xml:space="preserve"> </w:t>
      </w:r>
      <w:proofErr w:type="gramStart"/>
      <w:r w:rsidRPr="0073709D">
        <w:rPr>
          <w:rFonts w:ascii="Times New Roman" w:hAnsi="Times New Roman"/>
          <w:sz w:val="24"/>
          <w:szCs w:val="24"/>
          <w:lang w:val="en-US"/>
        </w:rPr>
        <w:t>Ayub, M., 2009.</w:t>
      </w:r>
      <w:proofErr w:type="gramEnd"/>
      <w:r w:rsidRPr="0073709D">
        <w:rPr>
          <w:rFonts w:ascii="Times New Roman" w:hAnsi="Times New Roman"/>
          <w:sz w:val="24"/>
          <w:szCs w:val="24"/>
          <w:lang w:val="en-US"/>
        </w:rPr>
        <w:t xml:space="preserve"> </w:t>
      </w:r>
      <w:proofErr w:type="gramStart"/>
      <w:r w:rsidRPr="0073709D">
        <w:rPr>
          <w:rFonts w:ascii="Times New Roman" w:hAnsi="Times New Roman"/>
          <w:i/>
          <w:sz w:val="24"/>
          <w:szCs w:val="24"/>
          <w:lang w:val="en-US"/>
        </w:rPr>
        <w:t>Understanding Islamic Finance: A-Z Keuangan Islam</w:t>
      </w:r>
      <w:r w:rsidRPr="0073709D">
        <w:rPr>
          <w:rFonts w:ascii="Times New Roman" w:hAnsi="Times New Roman"/>
          <w:sz w:val="24"/>
          <w:szCs w:val="24"/>
          <w:lang w:val="en-US"/>
        </w:rPr>
        <w:t>.</w:t>
      </w:r>
      <w:proofErr w:type="gramEnd"/>
      <w:r w:rsidRPr="0073709D">
        <w:rPr>
          <w:rFonts w:ascii="Times New Roman" w:hAnsi="Times New Roman"/>
          <w:sz w:val="24"/>
          <w:szCs w:val="24"/>
          <w:lang w:val="en-US"/>
        </w:rPr>
        <w:t xml:space="preserve"> Jakarta: PT. Gramedia Pustaka Utama.</w:t>
      </w:r>
    </w:p>
    <w:p w:rsidR="00D51517" w:rsidRPr="0073709D" w:rsidRDefault="00D51517" w:rsidP="00D51517">
      <w:pPr>
        <w:pStyle w:val="NoSpacing"/>
        <w:spacing w:line="360" w:lineRule="auto"/>
        <w:ind w:left="567" w:hanging="567"/>
        <w:jc w:val="both"/>
        <w:rPr>
          <w:rFonts w:ascii="Times New Roman" w:hAnsi="Times New Roman"/>
          <w:sz w:val="24"/>
          <w:szCs w:val="24"/>
          <w:lang w:val="en-US"/>
        </w:rPr>
      </w:pPr>
      <w:r w:rsidRPr="0073709D">
        <w:rPr>
          <w:rFonts w:ascii="Times New Roman" w:hAnsi="Times New Roman"/>
          <w:sz w:val="24"/>
          <w:szCs w:val="24"/>
        </w:rPr>
        <w:t xml:space="preserve">Batuparan, D.S., 2000. </w:t>
      </w:r>
      <w:r w:rsidRPr="0073709D">
        <w:rPr>
          <w:rFonts w:ascii="Times New Roman" w:hAnsi="Times New Roman"/>
          <w:i/>
          <w:sz w:val="24"/>
          <w:szCs w:val="24"/>
        </w:rPr>
        <w:t>BEI NEWS: Mengapa Risk Management? Edisi 4</w:t>
      </w:r>
      <w:r w:rsidRPr="0073709D">
        <w:rPr>
          <w:rFonts w:ascii="Times New Roman" w:hAnsi="Times New Roman"/>
          <w:sz w:val="24"/>
          <w:szCs w:val="24"/>
        </w:rPr>
        <w:t>. Jakarta: Bursa Efek Indonesia (BEI)</w:t>
      </w:r>
    </w:p>
    <w:p w:rsidR="00D51517" w:rsidRPr="0073709D" w:rsidRDefault="00D51517" w:rsidP="00D51517">
      <w:pPr>
        <w:pStyle w:val="NoSpacing"/>
        <w:spacing w:line="360" w:lineRule="auto"/>
        <w:ind w:left="567" w:hanging="567"/>
        <w:jc w:val="both"/>
        <w:rPr>
          <w:rFonts w:ascii="Times New Roman" w:hAnsi="Times New Roman"/>
          <w:sz w:val="24"/>
          <w:szCs w:val="24"/>
          <w:lang w:val="en-US"/>
        </w:rPr>
      </w:pPr>
      <w:r w:rsidRPr="0073709D">
        <w:rPr>
          <w:rFonts w:ascii="Times New Roman" w:hAnsi="Times New Roman"/>
          <w:sz w:val="24"/>
          <w:szCs w:val="24"/>
        </w:rPr>
        <w:t xml:space="preserve">Down, K., 2005. </w:t>
      </w:r>
      <w:r w:rsidRPr="0073709D">
        <w:rPr>
          <w:rFonts w:ascii="Times New Roman" w:hAnsi="Times New Roman"/>
          <w:i/>
          <w:sz w:val="24"/>
          <w:szCs w:val="24"/>
        </w:rPr>
        <w:t>Measuring Market Risk – 2</w:t>
      </w:r>
      <w:r w:rsidRPr="0073709D">
        <w:rPr>
          <w:rFonts w:ascii="Times New Roman" w:hAnsi="Times New Roman"/>
          <w:i/>
          <w:sz w:val="24"/>
          <w:szCs w:val="24"/>
          <w:vertAlign w:val="superscript"/>
        </w:rPr>
        <w:t>nd</w:t>
      </w:r>
      <w:r w:rsidRPr="0073709D">
        <w:rPr>
          <w:rFonts w:ascii="Times New Roman" w:hAnsi="Times New Roman"/>
          <w:i/>
          <w:sz w:val="24"/>
          <w:szCs w:val="24"/>
        </w:rPr>
        <w:t xml:space="preserve"> ed. </w:t>
      </w:r>
      <w:r w:rsidRPr="0073709D">
        <w:rPr>
          <w:rFonts w:ascii="Times New Roman" w:hAnsi="Times New Roman"/>
          <w:sz w:val="24"/>
          <w:szCs w:val="24"/>
        </w:rPr>
        <w:t>England: John Wiley &amp; Sons, Ltd.</w:t>
      </w:r>
    </w:p>
    <w:p w:rsidR="00D51517" w:rsidRPr="0073709D" w:rsidRDefault="00D51517" w:rsidP="00D51517">
      <w:pPr>
        <w:pStyle w:val="NoSpacing"/>
        <w:spacing w:line="360" w:lineRule="auto"/>
        <w:ind w:left="567" w:hanging="567"/>
        <w:jc w:val="both"/>
        <w:rPr>
          <w:rFonts w:ascii="Times New Roman" w:hAnsi="Times New Roman"/>
          <w:sz w:val="24"/>
          <w:szCs w:val="24"/>
          <w:lang w:val="en-US"/>
        </w:rPr>
      </w:pPr>
      <w:r w:rsidRPr="0073709D">
        <w:rPr>
          <w:rFonts w:ascii="Times New Roman" w:hAnsi="Times New Roman"/>
          <w:sz w:val="24"/>
          <w:szCs w:val="24"/>
        </w:rPr>
        <w:t>Fahmi, I., dan Hadi, Y.I., 2009. ‘</w:t>
      </w:r>
      <w:r w:rsidRPr="0073709D">
        <w:rPr>
          <w:rFonts w:ascii="Times New Roman" w:hAnsi="Times New Roman"/>
          <w:i/>
          <w:sz w:val="24"/>
          <w:szCs w:val="24"/>
        </w:rPr>
        <w:t>Teori Portofolio dan Analisis Investasi, Teori dan Soal Jawab</w:t>
      </w:r>
      <w:r w:rsidRPr="0073709D">
        <w:rPr>
          <w:rFonts w:ascii="Times New Roman" w:hAnsi="Times New Roman"/>
          <w:sz w:val="24"/>
          <w:szCs w:val="24"/>
        </w:rPr>
        <w:t xml:space="preserve">’, Bandung: Penerbit Alfabeta. </w:t>
      </w:r>
    </w:p>
    <w:p w:rsidR="00D51517" w:rsidRPr="0073709D" w:rsidRDefault="00D51517" w:rsidP="00D51517">
      <w:pPr>
        <w:pStyle w:val="NoSpacing"/>
        <w:spacing w:line="360" w:lineRule="auto"/>
        <w:ind w:left="567" w:hanging="567"/>
        <w:jc w:val="both"/>
        <w:rPr>
          <w:rFonts w:ascii="Times New Roman" w:hAnsi="Times New Roman"/>
          <w:sz w:val="24"/>
          <w:szCs w:val="24"/>
          <w:lang w:val="en-US"/>
        </w:rPr>
      </w:pPr>
      <w:r w:rsidRPr="0073709D">
        <w:rPr>
          <w:rFonts w:ascii="Times New Roman" w:hAnsi="Times New Roman"/>
          <w:sz w:val="24"/>
          <w:szCs w:val="24"/>
        </w:rPr>
        <w:lastRenderedPageBreak/>
        <w:t xml:space="preserve">Jorion, P., 2002. </w:t>
      </w:r>
      <w:r w:rsidRPr="0073709D">
        <w:rPr>
          <w:rFonts w:ascii="Times New Roman" w:hAnsi="Times New Roman"/>
          <w:i/>
          <w:sz w:val="24"/>
          <w:szCs w:val="24"/>
        </w:rPr>
        <w:t>Value at Risk : The New Benchmark for Managing Financial Risk</w:t>
      </w:r>
      <w:r w:rsidRPr="0073709D">
        <w:rPr>
          <w:rFonts w:ascii="Times New Roman" w:hAnsi="Times New Roman"/>
          <w:sz w:val="24"/>
          <w:szCs w:val="24"/>
        </w:rPr>
        <w:t>. McGraw-Hill, New York</w:t>
      </w:r>
      <w:r w:rsidRPr="0073709D">
        <w:rPr>
          <w:rFonts w:ascii="Times New Roman" w:hAnsi="Times New Roman"/>
          <w:sz w:val="24"/>
          <w:szCs w:val="24"/>
          <w:lang w:val="en-US"/>
        </w:rPr>
        <w:t>.</w:t>
      </w:r>
    </w:p>
    <w:p w:rsidR="00D51517" w:rsidRPr="0073709D" w:rsidRDefault="00D51517" w:rsidP="00D51517">
      <w:pPr>
        <w:pStyle w:val="NoSpacing"/>
        <w:spacing w:line="360" w:lineRule="auto"/>
        <w:ind w:left="567" w:hanging="567"/>
        <w:jc w:val="both"/>
        <w:rPr>
          <w:rFonts w:ascii="Times New Roman" w:hAnsi="Times New Roman"/>
          <w:sz w:val="24"/>
          <w:szCs w:val="24"/>
          <w:lang w:val="en-US"/>
        </w:rPr>
      </w:pPr>
      <w:r w:rsidRPr="0073709D">
        <w:rPr>
          <w:rFonts w:ascii="Times New Roman" w:hAnsi="Times New Roman"/>
          <w:sz w:val="24"/>
          <w:szCs w:val="24"/>
          <w:lang w:val="en-US"/>
        </w:rPr>
        <w:t xml:space="preserve">Judge, George, </w:t>
      </w:r>
      <w:proofErr w:type="gramStart"/>
      <w:r w:rsidRPr="0073709D">
        <w:rPr>
          <w:rFonts w:ascii="Times New Roman" w:hAnsi="Times New Roman"/>
          <w:sz w:val="24"/>
          <w:szCs w:val="24"/>
          <w:lang w:val="en-US"/>
        </w:rPr>
        <w:t>Griffits.,</w:t>
      </w:r>
      <w:proofErr w:type="gramEnd"/>
      <w:r w:rsidRPr="0073709D">
        <w:rPr>
          <w:rFonts w:ascii="Times New Roman" w:hAnsi="Times New Roman"/>
          <w:sz w:val="24"/>
          <w:szCs w:val="24"/>
          <w:lang w:val="en-US"/>
        </w:rPr>
        <w:t xml:space="preserve"> 1988. </w:t>
      </w:r>
      <w:proofErr w:type="gramStart"/>
      <w:r w:rsidRPr="0073709D">
        <w:rPr>
          <w:rFonts w:ascii="Times New Roman" w:hAnsi="Times New Roman"/>
          <w:sz w:val="24"/>
          <w:szCs w:val="24"/>
          <w:lang w:val="en-US"/>
        </w:rPr>
        <w:t>‘</w:t>
      </w:r>
      <w:r w:rsidRPr="0073709D">
        <w:rPr>
          <w:rFonts w:ascii="Times New Roman" w:hAnsi="Times New Roman"/>
          <w:i/>
          <w:sz w:val="24"/>
          <w:szCs w:val="24"/>
          <w:lang w:val="en-US"/>
        </w:rPr>
        <w:t>Theory and Practice of Econometrics, Second edition</w:t>
      </w:r>
      <w:r w:rsidRPr="0073709D">
        <w:rPr>
          <w:rFonts w:ascii="Times New Roman" w:hAnsi="Times New Roman"/>
          <w:sz w:val="24"/>
          <w:szCs w:val="24"/>
          <w:lang w:val="en-US"/>
        </w:rPr>
        <w:t>’.</w:t>
      </w:r>
      <w:proofErr w:type="gramEnd"/>
      <w:r w:rsidRPr="0073709D">
        <w:rPr>
          <w:rFonts w:ascii="Times New Roman" w:hAnsi="Times New Roman"/>
          <w:sz w:val="24"/>
          <w:szCs w:val="24"/>
          <w:lang w:val="en-US"/>
        </w:rPr>
        <w:t xml:space="preserve"> John Willey and Sons, New York.</w:t>
      </w:r>
    </w:p>
    <w:p w:rsidR="00D51517" w:rsidRPr="0073709D" w:rsidRDefault="00D51517" w:rsidP="00D51517">
      <w:pPr>
        <w:pStyle w:val="NoSpacing"/>
        <w:spacing w:line="360" w:lineRule="auto"/>
        <w:ind w:left="567" w:hanging="567"/>
        <w:jc w:val="both"/>
        <w:rPr>
          <w:rFonts w:ascii="Times New Roman" w:hAnsi="Times New Roman"/>
          <w:sz w:val="24"/>
          <w:szCs w:val="24"/>
          <w:lang w:val="en-US"/>
        </w:rPr>
      </w:pPr>
      <w:r w:rsidRPr="0073709D">
        <w:rPr>
          <w:rFonts w:asciiTheme="majorBidi" w:hAnsiTheme="majorBidi" w:cstheme="majorBidi"/>
          <w:sz w:val="24"/>
          <w:szCs w:val="24"/>
        </w:rPr>
        <w:t xml:space="preserve">Kondo, J.E. </w:t>
      </w:r>
      <w:r w:rsidRPr="0073709D">
        <w:rPr>
          <w:rFonts w:asciiTheme="majorBidi" w:hAnsiTheme="majorBidi" w:cstheme="majorBidi"/>
          <w:sz w:val="24"/>
          <w:szCs w:val="24"/>
          <w:lang w:val="en-US"/>
        </w:rPr>
        <w:t>1991.</w:t>
      </w:r>
      <w:r w:rsidRPr="0073709D">
        <w:rPr>
          <w:rFonts w:asciiTheme="majorBidi" w:hAnsiTheme="majorBidi" w:cstheme="majorBidi"/>
          <w:i/>
          <w:iCs/>
          <w:sz w:val="24"/>
          <w:szCs w:val="24"/>
        </w:rPr>
        <w:t xml:space="preserve"> Portfolio Theory And The CAPM: Theory And Tests</w:t>
      </w:r>
      <w:r w:rsidRPr="0073709D">
        <w:rPr>
          <w:rFonts w:asciiTheme="majorBidi" w:hAnsiTheme="majorBidi" w:cstheme="majorBidi"/>
          <w:sz w:val="24"/>
          <w:szCs w:val="24"/>
        </w:rPr>
        <w:t>. Journal of Finance, Sloan School Management.</w:t>
      </w:r>
    </w:p>
    <w:p w:rsidR="00D51517" w:rsidRDefault="00D51517" w:rsidP="00D51517">
      <w:pPr>
        <w:pStyle w:val="NoSpacing"/>
        <w:spacing w:line="360" w:lineRule="auto"/>
        <w:ind w:left="567" w:hanging="567"/>
        <w:jc w:val="both"/>
        <w:rPr>
          <w:rFonts w:ascii="Times New Roman" w:hAnsi="Times New Roman"/>
          <w:iCs/>
          <w:sz w:val="24"/>
          <w:szCs w:val="24"/>
          <w:lang w:val="en-US"/>
        </w:rPr>
      </w:pPr>
      <w:r w:rsidRPr="00803570">
        <w:rPr>
          <w:rFonts w:ascii="Times New Roman" w:hAnsi="Times New Roman"/>
          <w:sz w:val="24"/>
          <w:szCs w:val="24"/>
          <w:lang w:val="en-US"/>
        </w:rPr>
        <w:t xml:space="preserve">Nawawi, H., 1998. </w:t>
      </w:r>
      <w:proofErr w:type="gramStart"/>
      <w:r w:rsidRPr="00803570">
        <w:rPr>
          <w:rFonts w:ascii="Times New Roman" w:hAnsi="Times New Roman"/>
          <w:sz w:val="24"/>
          <w:szCs w:val="24"/>
          <w:lang w:val="en-US"/>
        </w:rPr>
        <w:t>Metode Penelitian Sosial.</w:t>
      </w:r>
      <w:proofErr w:type="gramEnd"/>
      <w:r w:rsidRPr="00803570">
        <w:rPr>
          <w:rFonts w:ascii="Times New Roman" w:hAnsi="Times New Roman"/>
          <w:sz w:val="24"/>
          <w:szCs w:val="24"/>
          <w:lang w:val="en-US"/>
        </w:rPr>
        <w:t xml:space="preserve"> Yogyakarta: Gadjah Mada University Press</w:t>
      </w:r>
    </w:p>
    <w:p w:rsidR="00D51517" w:rsidRPr="0073709D" w:rsidRDefault="00D51517" w:rsidP="00D51517">
      <w:pPr>
        <w:pStyle w:val="NoSpacing"/>
        <w:spacing w:line="360" w:lineRule="auto"/>
        <w:ind w:left="567" w:hanging="567"/>
        <w:jc w:val="both"/>
        <w:rPr>
          <w:rFonts w:ascii="Times New Roman" w:hAnsi="Times New Roman"/>
          <w:iCs/>
          <w:sz w:val="24"/>
          <w:szCs w:val="24"/>
          <w:lang w:val="en-US"/>
        </w:rPr>
      </w:pPr>
      <w:r w:rsidRPr="0073709D">
        <w:rPr>
          <w:rFonts w:ascii="Times New Roman" w:hAnsi="Times New Roman"/>
          <w:sz w:val="24"/>
          <w:szCs w:val="24"/>
        </w:rPr>
        <w:t>Qudratulah,</w:t>
      </w:r>
      <w:r w:rsidRPr="0073709D">
        <w:rPr>
          <w:rFonts w:ascii="Times New Roman" w:hAnsi="Times New Roman"/>
          <w:sz w:val="24"/>
          <w:szCs w:val="24"/>
          <w:lang w:val="en-US"/>
        </w:rPr>
        <w:t xml:space="preserve"> M.F., 2010.</w:t>
      </w:r>
      <w:r w:rsidRPr="0073709D">
        <w:rPr>
          <w:rFonts w:ascii="Times New Roman" w:hAnsi="Times New Roman"/>
          <w:sz w:val="24"/>
          <w:szCs w:val="24"/>
        </w:rPr>
        <w:t xml:space="preserve"> </w:t>
      </w:r>
      <w:r w:rsidRPr="0073709D">
        <w:rPr>
          <w:rFonts w:ascii="Times New Roman" w:hAnsi="Times New Roman"/>
          <w:i/>
          <w:sz w:val="24"/>
          <w:szCs w:val="24"/>
          <w:lang w:val="en-US"/>
        </w:rPr>
        <w:t xml:space="preserve"> </w:t>
      </w:r>
      <w:r w:rsidRPr="0073709D">
        <w:rPr>
          <w:rFonts w:ascii="Times New Roman" w:hAnsi="Times New Roman"/>
          <w:i/>
          <w:sz w:val="24"/>
          <w:szCs w:val="24"/>
        </w:rPr>
        <w:t>Analisis Model Resiko Investasi Saham Syariah (Jakarta Islamic Index (JII)) mengunakan Value at Risk (VaR)</w:t>
      </w:r>
      <w:r w:rsidRPr="0073709D">
        <w:rPr>
          <w:rFonts w:ascii="Times New Roman" w:hAnsi="Times New Roman"/>
          <w:i/>
          <w:sz w:val="24"/>
          <w:szCs w:val="24"/>
          <w:lang w:val="en-US"/>
        </w:rPr>
        <w:t>.</w:t>
      </w:r>
      <w:r w:rsidRPr="0073709D">
        <w:rPr>
          <w:rFonts w:ascii="Times New Roman" w:hAnsi="Times New Roman"/>
          <w:sz w:val="24"/>
          <w:szCs w:val="24"/>
        </w:rPr>
        <w:t xml:space="preserve"> Prosiding SNAST 2010 Teknologi IST AKPRIND Yogyakarta ISSN: 1979-911X</w:t>
      </w:r>
      <w:r w:rsidRPr="0073709D">
        <w:rPr>
          <w:rFonts w:ascii="Times New Roman" w:hAnsi="Times New Roman"/>
          <w:sz w:val="24"/>
          <w:szCs w:val="24"/>
          <w:lang w:val="en-US"/>
        </w:rPr>
        <w:t>. Hal: B-162 – B-167.</w:t>
      </w:r>
    </w:p>
    <w:p w:rsidR="00D51517" w:rsidRPr="001823E7" w:rsidRDefault="00D51517" w:rsidP="00D51517">
      <w:pPr>
        <w:pStyle w:val="NoSpacing"/>
        <w:spacing w:line="360" w:lineRule="auto"/>
        <w:ind w:left="567" w:hanging="567"/>
        <w:jc w:val="both"/>
        <w:rPr>
          <w:rFonts w:ascii="Times New Roman" w:hAnsi="Times New Roman"/>
          <w:sz w:val="24"/>
          <w:szCs w:val="24"/>
          <w:lang w:val="en-US"/>
        </w:rPr>
      </w:pPr>
      <w:r w:rsidRPr="0073709D">
        <w:rPr>
          <w:rFonts w:ascii="Times New Roman" w:hAnsi="Times New Roman"/>
          <w:sz w:val="24"/>
          <w:szCs w:val="24"/>
        </w:rPr>
        <w:t>Qudratullah</w:t>
      </w:r>
      <w:r w:rsidRPr="0073709D">
        <w:rPr>
          <w:rFonts w:ascii="Times New Roman" w:hAnsi="Times New Roman"/>
          <w:sz w:val="24"/>
          <w:szCs w:val="24"/>
          <w:lang w:val="en-US"/>
        </w:rPr>
        <w:t>, M.F., 2011.</w:t>
      </w:r>
      <w:r w:rsidRPr="0073709D">
        <w:rPr>
          <w:rFonts w:ascii="Times New Roman" w:hAnsi="Times New Roman"/>
          <w:sz w:val="24"/>
          <w:szCs w:val="24"/>
        </w:rPr>
        <w:t xml:space="preserve"> “</w:t>
      </w:r>
      <w:r w:rsidRPr="0073709D">
        <w:rPr>
          <w:rFonts w:ascii="Times New Roman" w:hAnsi="Times New Roman"/>
          <w:i/>
          <w:sz w:val="24"/>
          <w:szCs w:val="24"/>
        </w:rPr>
        <w:t>Analisis Return dan Resiko Investasi Saham Syariah di Bursa Efek Indonesia</w:t>
      </w:r>
      <w:r w:rsidRPr="0073709D">
        <w:rPr>
          <w:rFonts w:ascii="Times New Roman" w:hAnsi="Times New Roman"/>
          <w:i/>
          <w:sz w:val="24"/>
          <w:szCs w:val="24"/>
          <w:lang w:val="en-US"/>
        </w:rPr>
        <w:t xml:space="preserve"> </w:t>
      </w:r>
      <w:r w:rsidRPr="0073709D">
        <w:rPr>
          <w:rFonts w:ascii="Times New Roman" w:hAnsi="Times New Roman"/>
          <w:i/>
          <w:sz w:val="24"/>
          <w:szCs w:val="24"/>
        </w:rPr>
        <w:t>dalam Rangka Penguatan Sistem Ekonomi Islam Indonesia</w:t>
      </w:r>
      <w:r w:rsidRPr="0073709D">
        <w:rPr>
          <w:rFonts w:ascii="Times New Roman" w:hAnsi="Times New Roman"/>
          <w:sz w:val="24"/>
          <w:szCs w:val="24"/>
        </w:rPr>
        <w:t xml:space="preserve">”. Direktorat Pendidikan Tinggi Islam Direktorat Jenderal </w:t>
      </w:r>
      <w:r w:rsidRPr="001823E7">
        <w:rPr>
          <w:rFonts w:ascii="Times New Roman" w:hAnsi="Times New Roman"/>
          <w:sz w:val="24"/>
          <w:szCs w:val="24"/>
        </w:rPr>
        <w:t xml:space="preserve">Pendidikan Islam Kementerian Agama RI </w:t>
      </w:r>
    </w:p>
    <w:p w:rsidR="00D51517" w:rsidRPr="001823E7" w:rsidRDefault="00D51517" w:rsidP="00D51517">
      <w:pPr>
        <w:pStyle w:val="NoSpacing"/>
        <w:spacing w:line="360" w:lineRule="auto"/>
        <w:ind w:left="567" w:hanging="567"/>
        <w:jc w:val="both"/>
        <w:rPr>
          <w:rFonts w:ascii="Times New Roman" w:hAnsi="Times New Roman"/>
          <w:sz w:val="24"/>
          <w:szCs w:val="24"/>
          <w:lang w:val="en-US"/>
        </w:rPr>
      </w:pPr>
      <w:r w:rsidRPr="001823E7">
        <w:rPr>
          <w:rFonts w:ascii="Times New Roman" w:hAnsi="Times New Roman"/>
          <w:sz w:val="24"/>
          <w:szCs w:val="24"/>
        </w:rPr>
        <w:t>Qudratullah, M.F., Zuliana, S.U., dan Supandi, E.D., 20</w:t>
      </w:r>
      <w:r w:rsidRPr="001823E7">
        <w:rPr>
          <w:rFonts w:ascii="Times New Roman" w:hAnsi="Times New Roman"/>
          <w:sz w:val="24"/>
          <w:szCs w:val="24"/>
          <w:lang w:val="en-US"/>
        </w:rPr>
        <w:t>13</w:t>
      </w:r>
      <w:r w:rsidRPr="001823E7">
        <w:rPr>
          <w:rFonts w:ascii="Times New Roman" w:hAnsi="Times New Roman"/>
          <w:sz w:val="24"/>
          <w:szCs w:val="24"/>
        </w:rPr>
        <w:t xml:space="preserve">, ‘Statistika’, Yogyakarta: </w:t>
      </w:r>
      <w:r w:rsidRPr="001823E7">
        <w:rPr>
          <w:rFonts w:ascii="Times New Roman" w:hAnsi="Times New Roman"/>
          <w:sz w:val="24"/>
          <w:szCs w:val="24"/>
          <w:lang w:val="en-US"/>
        </w:rPr>
        <w:t>SUKA Press</w:t>
      </w:r>
    </w:p>
    <w:p w:rsidR="00D51517" w:rsidRDefault="00D51517" w:rsidP="00D51517">
      <w:pPr>
        <w:pStyle w:val="NoSpacing"/>
        <w:spacing w:line="360" w:lineRule="auto"/>
        <w:ind w:left="567" w:hanging="567"/>
        <w:jc w:val="both"/>
        <w:rPr>
          <w:rFonts w:ascii="Times New Roman" w:hAnsi="Times New Roman"/>
          <w:sz w:val="24"/>
          <w:szCs w:val="24"/>
          <w:lang w:val="en-US"/>
        </w:rPr>
      </w:pPr>
      <w:r w:rsidRPr="001823E7">
        <w:rPr>
          <w:rFonts w:ascii="Times New Roman" w:hAnsi="Times New Roman"/>
          <w:sz w:val="24"/>
          <w:szCs w:val="24"/>
        </w:rPr>
        <w:t xml:space="preserve">Sudarsono, H. 2003, </w:t>
      </w:r>
      <w:r w:rsidRPr="001823E7">
        <w:rPr>
          <w:rFonts w:ascii="Times New Roman" w:hAnsi="Times New Roman"/>
          <w:i/>
          <w:sz w:val="24"/>
          <w:szCs w:val="24"/>
        </w:rPr>
        <w:t>Bank dan Lembaga Keuangan Syariah, Edisi 2</w:t>
      </w:r>
      <w:r w:rsidRPr="001823E7">
        <w:rPr>
          <w:rFonts w:ascii="Times New Roman" w:hAnsi="Times New Roman"/>
          <w:sz w:val="24"/>
          <w:szCs w:val="24"/>
        </w:rPr>
        <w:t>. Penerbit Ekonisia Kampus Fakultas FE UII Yogyakarta.</w:t>
      </w:r>
    </w:p>
    <w:p w:rsidR="00D51517" w:rsidRPr="001823E7" w:rsidRDefault="00D51517" w:rsidP="00D51517">
      <w:pPr>
        <w:pStyle w:val="NoSpacing"/>
        <w:spacing w:line="360" w:lineRule="auto"/>
        <w:ind w:left="567" w:hanging="567"/>
        <w:jc w:val="both"/>
        <w:rPr>
          <w:rFonts w:ascii="Times New Roman" w:hAnsi="Times New Roman"/>
          <w:sz w:val="24"/>
          <w:szCs w:val="24"/>
          <w:lang w:val="en-US"/>
        </w:rPr>
      </w:pPr>
      <w:r w:rsidRPr="001823E7">
        <w:rPr>
          <w:rFonts w:ascii="Times New Roman" w:hAnsi="Times New Roman"/>
          <w:sz w:val="24"/>
          <w:szCs w:val="24"/>
        </w:rPr>
        <w:t>Tandelilin, E., 2001. ‘</w:t>
      </w:r>
      <w:r w:rsidRPr="001823E7">
        <w:rPr>
          <w:rFonts w:ascii="Times New Roman" w:hAnsi="Times New Roman"/>
          <w:i/>
          <w:sz w:val="24"/>
          <w:szCs w:val="24"/>
        </w:rPr>
        <w:t>Analisis Investasi dan Managemen Portofolio’</w:t>
      </w:r>
      <w:r w:rsidRPr="001823E7">
        <w:rPr>
          <w:rFonts w:ascii="Times New Roman" w:hAnsi="Times New Roman"/>
          <w:sz w:val="24"/>
          <w:szCs w:val="24"/>
        </w:rPr>
        <w:t>. Yogyakarta: BPFE.</w:t>
      </w:r>
    </w:p>
    <w:p w:rsidR="00D51517" w:rsidRPr="001823E7" w:rsidRDefault="00D51517" w:rsidP="00D51517">
      <w:pPr>
        <w:pStyle w:val="NoSpacing"/>
        <w:spacing w:line="360" w:lineRule="auto"/>
        <w:ind w:left="567" w:hanging="567"/>
        <w:jc w:val="both"/>
        <w:rPr>
          <w:rFonts w:ascii="Times New Roman" w:hAnsi="Times New Roman"/>
          <w:sz w:val="24"/>
          <w:szCs w:val="24"/>
          <w:lang w:val="en-US"/>
        </w:rPr>
      </w:pPr>
      <w:r w:rsidRPr="001823E7">
        <w:rPr>
          <w:rFonts w:ascii="Times New Roman" w:hAnsi="Times New Roman"/>
          <w:sz w:val="24"/>
          <w:szCs w:val="24"/>
          <w:lang w:val="en-US"/>
        </w:rPr>
        <w:t>Winarno</w:t>
      </w:r>
      <w:proofErr w:type="gramStart"/>
      <w:r w:rsidRPr="001823E7">
        <w:rPr>
          <w:rFonts w:ascii="Times New Roman" w:hAnsi="Times New Roman"/>
          <w:sz w:val="24"/>
          <w:szCs w:val="24"/>
          <w:lang w:val="en-US"/>
        </w:rPr>
        <w:t>,W</w:t>
      </w:r>
      <w:proofErr w:type="gramEnd"/>
      <w:r w:rsidRPr="001823E7">
        <w:rPr>
          <w:rFonts w:ascii="Times New Roman" w:hAnsi="Times New Roman"/>
          <w:sz w:val="24"/>
          <w:szCs w:val="24"/>
          <w:lang w:val="en-US"/>
        </w:rPr>
        <w:t xml:space="preserve">.,W., 2007. </w:t>
      </w:r>
      <w:r w:rsidRPr="001823E7">
        <w:rPr>
          <w:rFonts w:ascii="Times New Roman" w:hAnsi="Times New Roman"/>
          <w:i/>
          <w:sz w:val="24"/>
          <w:szCs w:val="24"/>
          <w:lang w:val="en-US"/>
        </w:rPr>
        <w:t>Analisis Ekonometri dan Statistika dengan E-Views</w:t>
      </w:r>
      <w:r w:rsidRPr="001823E7">
        <w:rPr>
          <w:rFonts w:ascii="Times New Roman" w:hAnsi="Times New Roman"/>
          <w:sz w:val="24"/>
          <w:szCs w:val="24"/>
          <w:lang w:val="en-US"/>
        </w:rPr>
        <w:t xml:space="preserve">. </w:t>
      </w:r>
      <w:proofErr w:type="gramStart"/>
      <w:r w:rsidRPr="001823E7">
        <w:rPr>
          <w:rFonts w:ascii="Times New Roman" w:hAnsi="Times New Roman"/>
          <w:sz w:val="24"/>
          <w:szCs w:val="24"/>
          <w:lang w:val="en-US"/>
        </w:rPr>
        <w:t>UPP STIM YKPN Yogyakarta.</w:t>
      </w:r>
      <w:proofErr w:type="gramEnd"/>
    </w:p>
    <w:p w:rsidR="00D51517" w:rsidRPr="0073709D" w:rsidRDefault="00D51517" w:rsidP="00D51517">
      <w:pPr>
        <w:pStyle w:val="NoSpacing"/>
        <w:spacing w:line="360" w:lineRule="auto"/>
        <w:ind w:left="567" w:hanging="567"/>
        <w:jc w:val="both"/>
        <w:rPr>
          <w:rFonts w:ascii="Times New Roman" w:hAnsi="Times New Roman"/>
          <w:sz w:val="24"/>
          <w:szCs w:val="24"/>
          <w:lang w:val="en-US"/>
        </w:rPr>
      </w:pPr>
      <w:r w:rsidRPr="001823E7">
        <w:rPr>
          <w:rFonts w:ascii="Times New Roman" w:hAnsi="Times New Roman"/>
          <w:sz w:val="24"/>
          <w:szCs w:val="24"/>
          <w:lang w:val="en-US"/>
        </w:rPr>
        <w:t>Yudat</w:t>
      </w:r>
      <w:r w:rsidRPr="001823E7">
        <w:rPr>
          <w:rFonts w:ascii="Times New Roman" w:hAnsi="Times New Roman"/>
          <w:sz w:val="24"/>
          <w:szCs w:val="24"/>
        </w:rPr>
        <w:t xml:space="preserve">ama, </w:t>
      </w:r>
      <w:proofErr w:type="gramStart"/>
      <w:r w:rsidRPr="001823E7">
        <w:rPr>
          <w:rFonts w:ascii="Times New Roman" w:hAnsi="Times New Roman"/>
          <w:sz w:val="24"/>
          <w:szCs w:val="24"/>
        </w:rPr>
        <w:t>R..</w:t>
      </w:r>
      <w:proofErr w:type="gramEnd"/>
      <w:r w:rsidRPr="001823E7">
        <w:rPr>
          <w:rFonts w:ascii="Times New Roman" w:hAnsi="Times New Roman"/>
          <w:sz w:val="24"/>
          <w:szCs w:val="24"/>
        </w:rPr>
        <w:t xml:space="preserve"> 2012. </w:t>
      </w:r>
      <w:r w:rsidRPr="001823E7">
        <w:rPr>
          <w:rFonts w:ascii="Times New Roman" w:hAnsi="Times New Roman"/>
          <w:i/>
          <w:iCs/>
          <w:sz w:val="24"/>
          <w:szCs w:val="24"/>
        </w:rPr>
        <w:t xml:space="preserve">Pembentukan Portofolio Optimal Dengan Metode CAPM </w:t>
      </w:r>
      <w:r w:rsidRPr="0073709D">
        <w:rPr>
          <w:rFonts w:asciiTheme="majorBidi" w:hAnsiTheme="majorBidi" w:cstheme="majorBidi"/>
          <w:i/>
          <w:iCs/>
          <w:sz w:val="24"/>
          <w:szCs w:val="24"/>
        </w:rPr>
        <w:t>Pada Saham LQ-45 Periode September 2009 – September 2011</w:t>
      </w:r>
      <w:r w:rsidRPr="0073709D">
        <w:rPr>
          <w:rFonts w:asciiTheme="majorBidi" w:hAnsiTheme="majorBidi" w:cstheme="majorBidi"/>
          <w:sz w:val="24"/>
          <w:szCs w:val="24"/>
        </w:rPr>
        <w:t>. Yogyakarta : FMIPA UGM.</w:t>
      </w:r>
    </w:p>
    <w:p w:rsidR="00D51517" w:rsidRPr="0073709D" w:rsidRDefault="00D51517" w:rsidP="00D51517">
      <w:pPr>
        <w:pStyle w:val="NoSpacing"/>
        <w:spacing w:line="360" w:lineRule="auto"/>
        <w:ind w:left="567" w:hanging="567"/>
        <w:jc w:val="both"/>
        <w:rPr>
          <w:rFonts w:ascii="Times New Roman" w:hAnsi="Times New Roman"/>
          <w:sz w:val="24"/>
          <w:szCs w:val="24"/>
        </w:rPr>
      </w:pPr>
      <w:r w:rsidRPr="0073709D">
        <w:rPr>
          <w:rFonts w:ascii="Times New Roman" w:hAnsi="Times New Roman"/>
          <w:sz w:val="24"/>
          <w:szCs w:val="24"/>
        </w:rPr>
        <w:t>____________, 201</w:t>
      </w:r>
      <w:r w:rsidRPr="0073709D">
        <w:rPr>
          <w:rFonts w:ascii="Times New Roman" w:hAnsi="Times New Roman"/>
          <w:sz w:val="24"/>
          <w:szCs w:val="24"/>
          <w:lang w:val="en-US"/>
        </w:rPr>
        <w:t>0</w:t>
      </w:r>
      <w:r w:rsidRPr="0073709D">
        <w:rPr>
          <w:rFonts w:ascii="Times New Roman" w:hAnsi="Times New Roman"/>
          <w:sz w:val="24"/>
          <w:szCs w:val="24"/>
        </w:rPr>
        <w:t xml:space="preserve">. Buku Panduan : </w:t>
      </w:r>
      <w:r w:rsidRPr="0073709D">
        <w:rPr>
          <w:rFonts w:ascii="Times New Roman" w:hAnsi="Times New Roman"/>
          <w:i/>
          <w:sz w:val="24"/>
          <w:szCs w:val="24"/>
        </w:rPr>
        <w:t>Indeks Harga Saham Bursa Efek Indonesia 201</w:t>
      </w:r>
      <w:r w:rsidRPr="0073709D">
        <w:rPr>
          <w:rFonts w:ascii="Times New Roman" w:hAnsi="Times New Roman"/>
          <w:i/>
          <w:sz w:val="24"/>
          <w:szCs w:val="24"/>
          <w:lang w:val="en-US"/>
        </w:rPr>
        <w:t>0</w:t>
      </w:r>
      <w:r w:rsidRPr="0073709D">
        <w:rPr>
          <w:rFonts w:ascii="Times New Roman" w:hAnsi="Times New Roman"/>
          <w:sz w:val="24"/>
          <w:szCs w:val="24"/>
        </w:rPr>
        <w:t xml:space="preserve">, Jakarta : Indonesia Stock Excange. </w:t>
      </w:r>
    </w:p>
    <w:p w:rsidR="00D51517" w:rsidRPr="006F6DEE" w:rsidRDefault="00D51517" w:rsidP="00D51517">
      <w:pPr>
        <w:pStyle w:val="NoSpacing"/>
        <w:spacing w:line="360" w:lineRule="auto"/>
        <w:ind w:left="567" w:hanging="567"/>
        <w:jc w:val="both"/>
        <w:rPr>
          <w:rFonts w:ascii="Times New Roman" w:hAnsi="Times New Roman"/>
          <w:sz w:val="24"/>
          <w:szCs w:val="24"/>
          <w:lang w:val="en-US"/>
        </w:rPr>
      </w:pPr>
    </w:p>
    <w:p w:rsidR="00D51517" w:rsidRPr="006F6DEE" w:rsidRDefault="00D51517" w:rsidP="00546668">
      <w:pPr>
        <w:pStyle w:val="NoSpacing"/>
        <w:spacing w:line="360" w:lineRule="auto"/>
        <w:ind w:left="567" w:hanging="567"/>
        <w:jc w:val="both"/>
        <w:rPr>
          <w:rFonts w:ascii="Times New Roman" w:hAnsi="Times New Roman"/>
          <w:sz w:val="24"/>
          <w:szCs w:val="24"/>
          <w:lang w:val="en-US"/>
        </w:rPr>
      </w:pPr>
    </w:p>
    <w:sectPr w:rsidR="00D51517" w:rsidRPr="006F6DEE" w:rsidSect="00321244">
      <w:pgSz w:w="11906" w:h="16838" w:code="9"/>
      <w:pgMar w:top="2275" w:right="1699" w:bottom="1584" w:left="2275"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E8C" w:rsidRDefault="00882E8C" w:rsidP="00E234A8">
      <w:pPr>
        <w:spacing w:after="0" w:line="240" w:lineRule="auto"/>
      </w:pPr>
      <w:r>
        <w:separator/>
      </w:r>
    </w:p>
  </w:endnote>
  <w:endnote w:type="continuationSeparator" w:id="0">
    <w:p w:rsidR="00882E8C" w:rsidRDefault="00882E8C" w:rsidP="00E23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0713"/>
      <w:docPartObj>
        <w:docPartGallery w:val="Page Numbers (Bottom of Page)"/>
        <w:docPartUnique/>
      </w:docPartObj>
    </w:sdtPr>
    <w:sdtContent>
      <w:p w:rsidR="00467397" w:rsidRDefault="00467397" w:rsidP="00DC3723">
        <w:pPr>
          <w:pStyle w:val="Footer"/>
        </w:pPr>
      </w:p>
    </w:sdtContent>
  </w:sdt>
  <w:p w:rsidR="00467397" w:rsidRDefault="00467397" w:rsidP="007E14EE">
    <w:pPr>
      <w:pStyle w:val="Footer"/>
      <w:tabs>
        <w:tab w:val="clear" w:pos="4680"/>
        <w:tab w:val="clear" w:pos="9360"/>
        <w:tab w:val="left" w:pos="65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E8C" w:rsidRDefault="00882E8C" w:rsidP="00E234A8">
      <w:pPr>
        <w:spacing w:after="0" w:line="240" w:lineRule="auto"/>
      </w:pPr>
      <w:r>
        <w:separator/>
      </w:r>
    </w:p>
  </w:footnote>
  <w:footnote w:type="continuationSeparator" w:id="0">
    <w:p w:rsidR="00882E8C" w:rsidRDefault="00882E8C" w:rsidP="00E234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0AF"/>
    <w:multiLevelType w:val="multilevel"/>
    <w:tmpl w:val="34146BE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8E673A"/>
    <w:multiLevelType w:val="hybridMultilevel"/>
    <w:tmpl w:val="5F1C1BA6"/>
    <w:lvl w:ilvl="0" w:tplc="C242EC28">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A320F"/>
    <w:multiLevelType w:val="hybridMultilevel"/>
    <w:tmpl w:val="3BC07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D33651"/>
    <w:multiLevelType w:val="hybridMultilevel"/>
    <w:tmpl w:val="144ABBD8"/>
    <w:lvl w:ilvl="0" w:tplc="BFCA4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A90B2B"/>
    <w:multiLevelType w:val="hybridMultilevel"/>
    <w:tmpl w:val="5CDC023C"/>
    <w:lvl w:ilvl="0" w:tplc="C242EC28">
      <w:start w:val="7"/>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7692E0E"/>
    <w:multiLevelType w:val="hybridMultilevel"/>
    <w:tmpl w:val="2A2A030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BB507BF"/>
    <w:multiLevelType w:val="hybridMultilevel"/>
    <w:tmpl w:val="E8FCCE6C"/>
    <w:lvl w:ilvl="0" w:tplc="04090019">
      <w:start w:val="1"/>
      <w:numFmt w:val="lowerLetter"/>
      <w:lvlText w:val="%1."/>
      <w:lvlJc w:val="left"/>
      <w:pPr>
        <w:ind w:left="1146" w:hanging="360"/>
      </w:pPr>
      <w:rPr>
        <w:rFonts w:cs="Times New Roman"/>
      </w:rPr>
    </w:lvl>
    <w:lvl w:ilvl="1" w:tplc="04090019">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7">
    <w:nsid w:val="342F3D4A"/>
    <w:multiLevelType w:val="hybridMultilevel"/>
    <w:tmpl w:val="3DBE0CA8"/>
    <w:lvl w:ilvl="0" w:tplc="5AF842C0">
      <w:start w:val="2"/>
      <w:numFmt w:val="lowerRoman"/>
      <w:lvlText w:val="(%1)"/>
      <w:lvlJc w:val="left"/>
      <w:pPr>
        <w:ind w:left="3060" w:hanging="72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8">
    <w:nsid w:val="37DE779A"/>
    <w:multiLevelType w:val="hybridMultilevel"/>
    <w:tmpl w:val="2D72F7D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BE46514"/>
    <w:multiLevelType w:val="hybridMultilevel"/>
    <w:tmpl w:val="2DF43528"/>
    <w:lvl w:ilvl="0" w:tplc="6EAC13E2">
      <w:start w:val="1"/>
      <w:numFmt w:val="decimal"/>
      <w:lvlText w:val="3.%1."/>
      <w:lvlJc w:val="left"/>
      <w:pPr>
        <w:tabs>
          <w:tab w:val="num" w:pos="1080"/>
        </w:tabs>
        <w:ind w:left="1080" w:hanging="360"/>
      </w:pPr>
      <w:rPr>
        <w:rFonts w:cs="Times New Roman" w:hint="default"/>
        <w:b/>
      </w:rPr>
    </w:lvl>
    <w:lvl w:ilvl="1" w:tplc="FEEC6D36">
      <w:start w:val="4"/>
      <w:numFmt w:val="decimal"/>
      <w:lvlText w:val="%2."/>
      <w:lvlJc w:val="left"/>
      <w:pPr>
        <w:tabs>
          <w:tab w:val="num" w:pos="1800"/>
        </w:tabs>
        <w:ind w:left="1800" w:hanging="360"/>
      </w:pPr>
      <w:rPr>
        <w:rFonts w:cs="Times New Roman" w:hint="default"/>
      </w:rPr>
    </w:lvl>
    <w:lvl w:ilvl="2" w:tplc="25187A84">
      <w:start w:val="3"/>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49E05E4E"/>
    <w:multiLevelType w:val="hybridMultilevel"/>
    <w:tmpl w:val="B2585562"/>
    <w:lvl w:ilvl="0" w:tplc="7084F1D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D72A8D"/>
    <w:multiLevelType w:val="hybridMultilevel"/>
    <w:tmpl w:val="C1F2DB90"/>
    <w:lvl w:ilvl="0" w:tplc="04210001">
      <w:start w:val="1"/>
      <w:numFmt w:val="bullet"/>
      <w:lvlText w:val=""/>
      <w:lvlJc w:val="left"/>
      <w:pPr>
        <w:ind w:left="720" w:hanging="360"/>
      </w:pPr>
      <w:rPr>
        <w:rFonts w:ascii="Symbol" w:eastAsia="Times New Roman"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523B68DB"/>
    <w:multiLevelType w:val="hybridMultilevel"/>
    <w:tmpl w:val="85827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606EEE"/>
    <w:multiLevelType w:val="hybridMultilevel"/>
    <w:tmpl w:val="9E440D98"/>
    <w:lvl w:ilvl="0" w:tplc="FCDE8B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4977C8"/>
    <w:multiLevelType w:val="hybridMultilevel"/>
    <w:tmpl w:val="095A17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57B9181C"/>
    <w:multiLevelType w:val="hybridMultilevel"/>
    <w:tmpl w:val="6FB031C6"/>
    <w:lvl w:ilvl="0" w:tplc="04210011">
      <w:start w:val="1"/>
      <w:numFmt w:val="decimal"/>
      <w:lvlText w:val="%1)"/>
      <w:lvlJc w:val="left"/>
      <w:pPr>
        <w:tabs>
          <w:tab w:val="num" w:pos="2160"/>
        </w:tabs>
        <w:ind w:left="2160" w:hanging="360"/>
      </w:pPr>
    </w:lvl>
    <w:lvl w:ilvl="1" w:tplc="2222ECEA">
      <w:start w:val="1"/>
      <w:numFmt w:val="decimal"/>
      <w:lvlText w:val="%2."/>
      <w:lvlJc w:val="left"/>
      <w:pPr>
        <w:tabs>
          <w:tab w:val="num" w:pos="2880"/>
        </w:tabs>
        <w:ind w:left="2880" w:hanging="360"/>
      </w:pPr>
      <w:rPr>
        <w:rFonts w:hint="default"/>
      </w:rPr>
    </w:lvl>
    <w:lvl w:ilvl="2" w:tplc="1C14B258">
      <w:start w:val="3"/>
      <w:numFmt w:val="upperLetter"/>
      <w:lvlText w:val="%3."/>
      <w:lvlJc w:val="left"/>
      <w:pPr>
        <w:tabs>
          <w:tab w:val="num" w:pos="3780"/>
        </w:tabs>
        <w:ind w:left="3780" w:hanging="360"/>
      </w:pPr>
      <w:rPr>
        <w:rFonts w:hint="default"/>
      </w:rPr>
    </w:lvl>
    <w:lvl w:ilvl="3" w:tplc="CFEE7B9C">
      <w:start w:val="1"/>
      <w:numFmt w:val="decimal"/>
      <w:lvlText w:val="%4."/>
      <w:lvlJc w:val="left"/>
      <w:pPr>
        <w:tabs>
          <w:tab w:val="num" w:pos="4320"/>
        </w:tabs>
        <w:ind w:left="4320" w:hanging="360"/>
      </w:pPr>
      <w:rPr>
        <w:b/>
        <w:bCs/>
      </w:rPr>
    </w:lvl>
    <w:lvl w:ilvl="4" w:tplc="0EF2B9A0">
      <w:start w:val="1"/>
      <w:numFmt w:val="lowerLetter"/>
      <w:lvlText w:val="%5."/>
      <w:lvlJc w:val="left"/>
      <w:pPr>
        <w:tabs>
          <w:tab w:val="num" w:pos="5040"/>
        </w:tabs>
        <w:ind w:left="5040" w:hanging="360"/>
      </w:pPr>
      <w:rPr>
        <w:rFonts w:hint="default"/>
      </w:r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16">
    <w:nsid w:val="5E2A2FDC"/>
    <w:multiLevelType w:val="hybridMultilevel"/>
    <w:tmpl w:val="9D58A8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F3659CF"/>
    <w:multiLevelType w:val="hybridMultilevel"/>
    <w:tmpl w:val="8302629E"/>
    <w:lvl w:ilvl="0" w:tplc="C242EC28">
      <w:start w:val="7"/>
      <w:numFmt w:val="bullet"/>
      <w:lvlText w:val="-"/>
      <w:lvlJc w:val="left"/>
      <w:pPr>
        <w:ind w:left="720" w:hanging="360"/>
      </w:pPr>
      <w:rPr>
        <w:rFonts w:ascii="Times New Roman" w:eastAsia="Times New Roman"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C6C2BBD"/>
    <w:multiLevelType w:val="hybridMultilevel"/>
    <w:tmpl w:val="576E99CE"/>
    <w:lvl w:ilvl="0" w:tplc="11EE35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C1139B"/>
    <w:multiLevelType w:val="hybridMultilevel"/>
    <w:tmpl w:val="09986F8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57A11F4"/>
    <w:multiLevelType w:val="hybridMultilevel"/>
    <w:tmpl w:val="BE32FC4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73D305F"/>
    <w:multiLevelType w:val="hybridMultilevel"/>
    <w:tmpl w:val="CB1ED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F954DF"/>
    <w:multiLevelType w:val="hybridMultilevel"/>
    <w:tmpl w:val="53C65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6"/>
  </w:num>
  <w:num w:numId="3">
    <w:abstractNumId w:val="8"/>
  </w:num>
  <w:num w:numId="4">
    <w:abstractNumId w:val="5"/>
  </w:num>
  <w:num w:numId="5">
    <w:abstractNumId w:val="17"/>
  </w:num>
  <w:num w:numId="6">
    <w:abstractNumId w:val="19"/>
  </w:num>
  <w:num w:numId="7">
    <w:abstractNumId w:val="11"/>
  </w:num>
  <w:num w:numId="8">
    <w:abstractNumId w:val="21"/>
  </w:num>
  <w:num w:numId="9">
    <w:abstractNumId w:val="1"/>
  </w:num>
  <w:num w:numId="10">
    <w:abstractNumId w:val="3"/>
  </w:num>
  <w:num w:numId="11">
    <w:abstractNumId w:val="20"/>
  </w:num>
  <w:num w:numId="12">
    <w:abstractNumId w:val="7"/>
  </w:num>
  <w:num w:numId="13">
    <w:abstractNumId w:val="22"/>
  </w:num>
  <w:num w:numId="14">
    <w:abstractNumId w:val="4"/>
  </w:num>
  <w:num w:numId="15">
    <w:abstractNumId w:val="18"/>
  </w:num>
  <w:num w:numId="16">
    <w:abstractNumId w:val="15"/>
  </w:num>
  <w:num w:numId="17">
    <w:abstractNumId w:val="12"/>
  </w:num>
  <w:num w:numId="18">
    <w:abstractNumId w:val="9"/>
  </w:num>
  <w:num w:numId="19">
    <w:abstractNumId w:val="6"/>
  </w:num>
  <w:num w:numId="20">
    <w:abstractNumId w:val="0"/>
  </w:num>
  <w:num w:numId="21">
    <w:abstractNumId w:val="10"/>
  </w:num>
  <w:num w:numId="22">
    <w:abstractNumId w:val="13"/>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footnotePr>
    <w:footnote w:id="-1"/>
    <w:footnote w:id="0"/>
  </w:footnotePr>
  <w:endnotePr>
    <w:endnote w:id="-1"/>
    <w:endnote w:id="0"/>
  </w:endnotePr>
  <w:compat/>
  <w:rsids>
    <w:rsidRoot w:val="00581DD8"/>
    <w:rsid w:val="0000024C"/>
    <w:rsid w:val="00000A9F"/>
    <w:rsid w:val="000017F6"/>
    <w:rsid w:val="00002535"/>
    <w:rsid w:val="0000281D"/>
    <w:rsid w:val="00002D3E"/>
    <w:rsid w:val="00002DC0"/>
    <w:rsid w:val="00003046"/>
    <w:rsid w:val="00004F39"/>
    <w:rsid w:val="00005E8E"/>
    <w:rsid w:val="000062D6"/>
    <w:rsid w:val="00007F9F"/>
    <w:rsid w:val="0001002D"/>
    <w:rsid w:val="00012F58"/>
    <w:rsid w:val="000134F7"/>
    <w:rsid w:val="00013B17"/>
    <w:rsid w:val="00014BA6"/>
    <w:rsid w:val="00014FA0"/>
    <w:rsid w:val="000157C4"/>
    <w:rsid w:val="00016060"/>
    <w:rsid w:val="00017AFE"/>
    <w:rsid w:val="000217E5"/>
    <w:rsid w:val="00022C07"/>
    <w:rsid w:val="00022EC9"/>
    <w:rsid w:val="00023E64"/>
    <w:rsid w:val="0002435F"/>
    <w:rsid w:val="00024399"/>
    <w:rsid w:val="00024BA8"/>
    <w:rsid w:val="00026266"/>
    <w:rsid w:val="0002626C"/>
    <w:rsid w:val="00026C08"/>
    <w:rsid w:val="00026E4A"/>
    <w:rsid w:val="0003054D"/>
    <w:rsid w:val="000309A4"/>
    <w:rsid w:val="00031875"/>
    <w:rsid w:val="0003202E"/>
    <w:rsid w:val="00032BDA"/>
    <w:rsid w:val="0003312D"/>
    <w:rsid w:val="0003356A"/>
    <w:rsid w:val="000335D5"/>
    <w:rsid w:val="0003407F"/>
    <w:rsid w:val="00034CEC"/>
    <w:rsid w:val="00034F99"/>
    <w:rsid w:val="00034FE8"/>
    <w:rsid w:val="0003523E"/>
    <w:rsid w:val="00035689"/>
    <w:rsid w:val="00036539"/>
    <w:rsid w:val="00036D44"/>
    <w:rsid w:val="00037606"/>
    <w:rsid w:val="00037C94"/>
    <w:rsid w:val="000404C2"/>
    <w:rsid w:val="00040BB3"/>
    <w:rsid w:val="00041E01"/>
    <w:rsid w:val="00042399"/>
    <w:rsid w:val="00042F92"/>
    <w:rsid w:val="000440BE"/>
    <w:rsid w:val="0004452F"/>
    <w:rsid w:val="00044572"/>
    <w:rsid w:val="00044DFB"/>
    <w:rsid w:val="00045571"/>
    <w:rsid w:val="000468D7"/>
    <w:rsid w:val="00047B14"/>
    <w:rsid w:val="000501BD"/>
    <w:rsid w:val="00051A79"/>
    <w:rsid w:val="00051B18"/>
    <w:rsid w:val="00051FF4"/>
    <w:rsid w:val="00052625"/>
    <w:rsid w:val="00053043"/>
    <w:rsid w:val="00053934"/>
    <w:rsid w:val="000546AC"/>
    <w:rsid w:val="00054813"/>
    <w:rsid w:val="00054AE2"/>
    <w:rsid w:val="00054AFC"/>
    <w:rsid w:val="00054BC1"/>
    <w:rsid w:val="0005502C"/>
    <w:rsid w:val="00055C3C"/>
    <w:rsid w:val="000562A2"/>
    <w:rsid w:val="000566CD"/>
    <w:rsid w:val="00056F7E"/>
    <w:rsid w:val="00060225"/>
    <w:rsid w:val="00060F5F"/>
    <w:rsid w:val="000614C2"/>
    <w:rsid w:val="0006166D"/>
    <w:rsid w:val="00061704"/>
    <w:rsid w:val="00062200"/>
    <w:rsid w:val="000634D5"/>
    <w:rsid w:val="000637AC"/>
    <w:rsid w:val="000638CF"/>
    <w:rsid w:val="00063E2B"/>
    <w:rsid w:val="000641C3"/>
    <w:rsid w:val="000656C7"/>
    <w:rsid w:val="00065D29"/>
    <w:rsid w:val="0006639B"/>
    <w:rsid w:val="000663D0"/>
    <w:rsid w:val="00066846"/>
    <w:rsid w:val="00066ED8"/>
    <w:rsid w:val="000677A1"/>
    <w:rsid w:val="000679AB"/>
    <w:rsid w:val="00070349"/>
    <w:rsid w:val="000704F8"/>
    <w:rsid w:val="00070ACD"/>
    <w:rsid w:val="00070E2E"/>
    <w:rsid w:val="0007186B"/>
    <w:rsid w:val="00071DBE"/>
    <w:rsid w:val="00071E7F"/>
    <w:rsid w:val="0007237D"/>
    <w:rsid w:val="00072631"/>
    <w:rsid w:val="000726FA"/>
    <w:rsid w:val="0007473C"/>
    <w:rsid w:val="00075030"/>
    <w:rsid w:val="000751EF"/>
    <w:rsid w:val="00075385"/>
    <w:rsid w:val="00075485"/>
    <w:rsid w:val="000766AB"/>
    <w:rsid w:val="00076889"/>
    <w:rsid w:val="00076B37"/>
    <w:rsid w:val="000772DE"/>
    <w:rsid w:val="0008048A"/>
    <w:rsid w:val="000808C5"/>
    <w:rsid w:val="00080D8C"/>
    <w:rsid w:val="00082B8B"/>
    <w:rsid w:val="0008315C"/>
    <w:rsid w:val="0008379A"/>
    <w:rsid w:val="00083E02"/>
    <w:rsid w:val="0008429B"/>
    <w:rsid w:val="0008459E"/>
    <w:rsid w:val="00085173"/>
    <w:rsid w:val="00085293"/>
    <w:rsid w:val="0008578A"/>
    <w:rsid w:val="00085E90"/>
    <w:rsid w:val="00085EAE"/>
    <w:rsid w:val="00086236"/>
    <w:rsid w:val="00086257"/>
    <w:rsid w:val="00086DFC"/>
    <w:rsid w:val="00087F48"/>
    <w:rsid w:val="00087F92"/>
    <w:rsid w:val="00090090"/>
    <w:rsid w:val="0009069D"/>
    <w:rsid w:val="000907E3"/>
    <w:rsid w:val="000918DF"/>
    <w:rsid w:val="00091EA6"/>
    <w:rsid w:val="0009333B"/>
    <w:rsid w:val="000940B7"/>
    <w:rsid w:val="0009427F"/>
    <w:rsid w:val="00094737"/>
    <w:rsid w:val="0009552F"/>
    <w:rsid w:val="00095ECD"/>
    <w:rsid w:val="00096119"/>
    <w:rsid w:val="0009697F"/>
    <w:rsid w:val="00096F77"/>
    <w:rsid w:val="000975F0"/>
    <w:rsid w:val="000A0B31"/>
    <w:rsid w:val="000A0BE9"/>
    <w:rsid w:val="000A10F8"/>
    <w:rsid w:val="000A1549"/>
    <w:rsid w:val="000A1C72"/>
    <w:rsid w:val="000A21B2"/>
    <w:rsid w:val="000A3448"/>
    <w:rsid w:val="000A38E6"/>
    <w:rsid w:val="000A446C"/>
    <w:rsid w:val="000A47FC"/>
    <w:rsid w:val="000A4A01"/>
    <w:rsid w:val="000A621B"/>
    <w:rsid w:val="000A68D0"/>
    <w:rsid w:val="000A6B6F"/>
    <w:rsid w:val="000A75A1"/>
    <w:rsid w:val="000A7865"/>
    <w:rsid w:val="000B024E"/>
    <w:rsid w:val="000B0AF7"/>
    <w:rsid w:val="000B1B3F"/>
    <w:rsid w:val="000B1C9D"/>
    <w:rsid w:val="000B3387"/>
    <w:rsid w:val="000B55A7"/>
    <w:rsid w:val="000B582E"/>
    <w:rsid w:val="000B6661"/>
    <w:rsid w:val="000B76CE"/>
    <w:rsid w:val="000B7869"/>
    <w:rsid w:val="000C0B09"/>
    <w:rsid w:val="000C0B56"/>
    <w:rsid w:val="000C17D6"/>
    <w:rsid w:val="000C2B1F"/>
    <w:rsid w:val="000C2CDC"/>
    <w:rsid w:val="000C2F33"/>
    <w:rsid w:val="000C33F7"/>
    <w:rsid w:val="000C343F"/>
    <w:rsid w:val="000C34B0"/>
    <w:rsid w:val="000C3932"/>
    <w:rsid w:val="000C3C45"/>
    <w:rsid w:val="000C5491"/>
    <w:rsid w:val="000C5550"/>
    <w:rsid w:val="000C5A8D"/>
    <w:rsid w:val="000C5DCF"/>
    <w:rsid w:val="000C60DA"/>
    <w:rsid w:val="000C730B"/>
    <w:rsid w:val="000C7E13"/>
    <w:rsid w:val="000D043C"/>
    <w:rsid w:val="000D09DF"/>
    <w:rsid w:val="000D1154"/>
    <w:rsid w:val="000D15CD"/>
    <w:rsid w:val="000D190C"/>
    <w:rsid w:val="000D1DA0"/>
    <w:rsid w:val="000D3397"/>
    <w:rsid w:val="000D3935"/>
    <w:rsid w:val="000D4217"/>
    <w:rsid w:val="000D4D9B"/>
    <w:rsid w:val="000D5094"/>
    <w:rsid w:val="000D515C"/>
    <w:rsid w:val="000D516F"/>
    <w:rsid w:val="000D5861"/>
    <w:rsid w:val="000D5C13"/>
    <w:rsid w:val="000D6E23"/>
    <w:rsid w:val="000D7F53"/>
    <w:rsid w:val="000E01FD"/>
    <w:rsid w:val="000E067B"/>
    <w:rsid w:val="000E0B88"/>
    <w:rsid w:val="000E14F1"/>
    <w:rsid w:val="000E226E"/>
    <w:rsid w:val="000E338B"/>
    <w:rsid w:val="000E3D1F"/>
    <w:rsid w:val="000E4352"/>
    <w:rsid w:val="000E52C7"/>
    <w:rsid w:val="000E5E58"/>
    <w:rsid w:val="000E6C59"/>
    <w:rsid w:val="000F0418"/>
    <w:rsid w:val="000F10C5"/>
    <w:rsid w:val="000F1592"/>
    <w:rsid w:val="000F16C5"/>
    <w:rsid w:val="000F2683"/>
    <w:rsid w:val="000F3045"/>
    <w:rsid w:val="000F5B7F"/>
    <w:rsid w:val="000F5CCD"/>
    <w:rsid w:val="000F7FBB"/>
    <w:rsid w:val="00101287"/>
    <w:rsid w:val="001019F9"/>
    <w:rsid w:val="00101E8F"/>
    <w:rsid w:val="00102456"/>
    <w:rsid w:val="00103309"/>
    <w:rsid w:val="00103BD8"/>
    <w:rsid w:val="001046A9"/>
    <w:rsid w:val="00104BBB"/>
    <w:rsid w:val="0010528D"/>
    <w:rsid w:val="00105481"/>
    <w:rsid w:val="00105862"/>
    <w:rsid w:val="001058AA"/>
    <w:rsid w:val="001059E8"/>
    <w:rsid w:val="00105F1B"/>
    <w:rsid w:val="00106FDE"/>
    <w:rsid w:val="001129C0"/>
    <w:rsid w:val="00113198"/>
    <w:rsid w:val="00113670"/>
    <w:rsid w:val="00113716"/>
    <w:rsid w:val="00114C61"/>
    <w:rsid w:val="00115800"/>
    <w:rsid w:val="00115E04"/>
    <w:rsid w:val="00116267"/>
    <w:rsid w:val="00116A75"/>
    <w:rsid w:val="001174C6"/>
    <w:rsid w:val="001175C1"/>
    <w:rsid w:val="001205F9"/>
    <w:rsid w:val="00120736"/>
    <w:rsid w:val="00120905"/>
    <w:rsid w:val="00122AE4"/>
    <w:rsid w:val="00122D7E"/>
    <w:rsid w:val="00123003"/>
    <w:rsid w:val="0012359C"/>
    <w:rsid w:val="001238BD"/>
    <w:rsid w:val="00123A21"/>
    <w:rsid w:val="00124A7C"/>
    <w:rsid w:val="00124C96"/>
    <w:rsid w:val="00124ED6"/>
    <w:rsid w:val="00125339"/>
    <w:rsid w:val="00125E38"/>
    <w:rsid w:val="00126972"/>
    <w:rsid w:val="001269A0"/>
    <w:rsid w:val="00127E75"/>
    <w:rsid w:val="0013039E"/>
    <w:rsid w:val="001309B0"/>
    <w:rsid w:val="0013290E"/>
    <w:rsid w:val="00132A48"/>
    <w:rsid w:val="00132AC4"/>
    <w:rsid w:val="0013413E"/>
    <w:rsid w:val="00134486"/>
    <w:rsid w:val="0013476F"/>
    <w:rsid w:val="00134E7E"/>
    <w:rsid w:val="00135AC4"/>
    <w:rsid w:val="00135B0E"/>
    <w:rsid w:val="00135DD3"/>
    <w:rsid w:val="00136341"/>
    <w:rsid w:val="00136E21"/>
    <w:rsid w:val="001372AA"/>
    <w:rsid w:val="00140831"/>
    <w:rsid w:val="001409A7"/>
    <w:rsid w:val="00140B8C"/>
    <w:rsid w:val="00141453"/>
    <w:rsid w:val="00141578"/>
    <w:rsid w:val="00141D01"/>
    <w:rsid w:val="00142796"/>
    <w:rsid w:val="00143517"/>
    <w:rsid w:val="00143E7C"/>
    <w:rsid w:val="00145CB8"/>
    <w:rsid w:val="00146122"/>
    <w:rsid w:val="001467AB"/>
    <w:rsid w:val="00146FFD"/>
    <w:rsid w:val="00150B5F"/>
    <w:rsid w:val="00151B04"/>
    <w:rsid w:val="00152749"/>
    <w:rsid w:val="00152B14"/>
    <w:rsid w:val="001534F0"/>
    <w:rsid w:val="00153D59"/>
    <w:rsid w:val="00153F5D"/>
    <w:rsid w:val="001556D5"/>
    <w:rsid w:val="00155898"/>
    <w:rsid w:val="00156B71"/>
    <w:rsid w:val="00156FC1"/>
    <w:rsid w:val="00161217"/>
    <w:rsid w:val="00161893"/>
    <w:rsid w:val="001619FB"/>
    <w:rsid w:val="00163E79"/>
    <w:rsid w:val="001643A5"/>
    <w:rsid w:val="00164655"/>
    <w:rsid w:val="00164B21"/>
    <w:rsid w:val="00164B82"/>
    <w:rsid w:val="00166A55"/>
    <w:rsid w:val="00166ACB"/>
    <w:rsid w:val="00166C76"/>
    <w:rsid w:val="00167F44"/>
    <w:rsid w:val="001710E1"/>
    <w:rsid w:val="0017172C"/>
    <w:rsid w:val="00171EFE"/>
    <w:rsid w:val="001727FD"/>
    <w:rsid w:val="00174FF6"/>
    <w:rsid w:val="00175B99"/>
    <w:rsid w:val="00175FC8"/>
    <w:rsid w:val="00176AC5"/>
    <w:rsid w:val="00176D55"/>
    <w:rsid w:val="0017737E"/>
    <w:rsid w:val="00180760"/>
    <w:rsid w:val="001809F3"/>
    <w:rsid w:val="00180AA4"/>
    <w:rsid w:val="00181302"/>
    <w:rsid w:val="001816B5"/>
    <w:rsid w:val="00181CAE"/>
    <w:rsid w:val="00182931"/>
    <w:rsid w:val="00182F73"/>
    <w:rsid w:val="0018322A"/>
    <w:rsid w:val="00184093"/>
    <w:rsid w:val="001848FC"/>
    <w:rsid w:val="00184FC6"/>
    <w:rsid w:val="00185AB8"/>
    <w:rsid w:val="001865A6"/>
    <w:rsid w:val="00186BC4"/>
    <w:rsid w:val="001878E6"/>
    <w:rsid w:val="001902E0"/>
    <w:rsid w:val="001905FD"/>
    <w:rsid w:val="001908B5"/>
    <w:rsid w:val="001914FC"/>
    <w:rsid w:val="001921A0"/>
    <w:rsid w:val="001922B0"/>
    <w:rsid w:val="00192D2C"/>
    <w:rsid w:val="00192D61"/>
    <w:rsid w:val="001936FC"/>
    <w:rsid w:val="001938FD"/>
    <w:rsid w:val="00193C80"/>
    <w:rsid w:val="00193E69"/>
    <w:rsid w:val="001953BA"/>
    <w:rsid w:val="0019644A"/>
    <w:rsid w:val="00196809"/>
    <w:rsid w:val="00196BCD"/>
    <w:rsid w:val="00196D5D"/>
    <w:rsid w:val="001970C9"/>
    <w:rsid w:val="001979B1"/>
    <w:rsid w:val="001A1B38"/>
    <w:rsid w:val="001A24D2"/>
    <w:rsid w:val="001A2B3E"/>
    <w:rsid w:val="001A2E1C"/>
    <w:rsid w:val="001A2F72"/>
    <w:rsid w:val="001A3B27"/>
    <w:rsid w:val="001A4235"/>
    <w:rsid w:val="001A5373"/>
    <w:rsid w:val="001A5B99"/>
    <w:rsid w:val="001A5CFE"/>
    <w:rsid w:val="001A6AE4"/>
    <w:rsid w:val="001A6CE8"/>
    <w:rsid w:val="001A70C3"/>
    <w:rsid w:val="001B01F4"/>
    <w:rsid w:val="001B05CD"/>
    <w:rsid w:val="001B0D99"/>
    <w:rsid w:val="001B0DE5"/>
    <w:rsid w:val="001B11CA"/>
    <w:rsid w:val="001B3171"/>
    <w:rsid w:val="001B490D"/>
    <w:rsid w:val="001B7560"/>
    <w:rsid w:val="001B79FA"/>
    <w:rsid w:val="001B7E0D"/>
    <w:rsid w:val="001C04BC"/>
    <w:rsid w:val="001C1185"/>
    <w:rsid w:val="001C1A45"/>
    <w:rsid w:val="001C1BC9"/>
    <w:rsid w:val="001C2248"/>
    <w:rsid w:val="001C3A5F"/>
    <w:rsid w:val="001C4201"/>
    <w:rsid w:val="001C456A"/>
    <w:rsid w:val="001C4AAD"/>
    <w:rsid w:val="001C6D7E"/>
    <w:rsid w:val="001C7A65"/>
    <w:rsid w:val="001C7ED0"/>
    <w:rsid w:val="001D0657"/>
    <w:rsid w:val="001D0740"/>
    <w:rsid w:val="001D0AB9"/>
    <w:rsid w:val="001D285E"/>
    <w:rsid w:val="001D314A"/>
    <w:rsid w:val="001D35B6"/>
    <w:rsid w:val="001D4CC7"/>
    <w:rsid w:val="001D552D"/>
    <w:rsid w:val="001D6E2F"/>
    <w:rsid w:val="001D7DF2"/>
    <w:rsid w:val="001E0211"/>
    <w:rsid w:val="001E044E"/>
    <w:rsid w:val="001E0841"/>
    <w:rsid w:val="001E0DFC"/>
    <w:rsid w:val="001E27BA"/>
    <w:rsid w:val="001E2DB0"/>
    <w:rsid w:val="001E343D"/>
    <w:rsid w:val="001E381A"/>
    <w:rsid w:val="001E3D0C"/>
    <w:rsid w:val="001E602A"/>
    <w:rsid w:val="001E64C9"/>
    <w:rsid w:val="001E6B87"/>
    <w:rsid w:val="001F054A"/>
    <w:rsid w:val="001F0C2E"/>
    <w:rsid w:val="001F2609"/>
    <w:rsid w:val="001F2869"/>
    <w:rsid w:val="001F42B5"/>
    <w:rsid w:val="001F45F7"/>
    <w:rsid w:val="001F5F00"/>
    <w:rsid w:val="001F6812"/>
    <w:rsid w:val="001F6A4A"/>
    <w:rsid w:val="001F6B38"/>
    <w:rsid w:val="001F6C2E"/>
    <w:rsid w:val="001F6E70"/>
    <w:rsid w:val="001F7A84"/>
    <w:rsid w:val="001F7FCF"/>
    <w:rsid w:val="0020067B"/>
    <w:rsid w:val="002014BE"/>
    <w:rsid w:val="00201CDF"/>
    <w:rsid w:val="00201D15"/>
    <w:rsid w:val="00202253"/>
    <w:rsid w:val="00202418"/>
    <w:rsid w:val="002028FB"/>
    <w:rsid w:val="00202BC9"/>
    <w:rsid w:val="00202CD4"/>
    <w:rsid w:val="00202D4C"/>
    <w:rsid w:val="002044DA"/>
    <w:rsid w:val="0020461F"/>
    <w:rsid w:val="00204EBD"/>
    <w:rsid w:val="00205750"/>
    <w:rsid w:val="002070E1"/>
    <w:rsid w:val="00207C64"/>
    <w:rsid w:val="00210092"/>
    <w:rsid w:val="002120D6"/>
    <w:rsid w:val="0021251F"/>
    <w:rsid w:val="00212A87"/>
    <w:rsid w:val="00213DAB"/>
    <w:rsid w:val="00214FF1"/>
    <w:rsid w:val="00215CBE"/>
    <w:rsid w:val="00215CE2"/>
    <w:rsid w:val="002160D2"/>
    <w:rsid w:val="00216DA9"/>
    <w:rsid w:val="0021737C"/>
    <w:rsid w:val="002179E6"/>
    <w:rsid w:val="002201B9"/>
    <w:rsid w:val="00220797"/>
    <w:rsid w:val="00220A96"/>
    <w:rsid w:val="00220CC3"/>
    <w:rsid w:val="002227DE"/>
    <w:rsid w:val="002228AF"/>
    <w:rsid w:val="00222C86"/>
    <w:rsid w:val="00222D8E"/>
    <w:rsid w:val="00223137"/>
    <w:rsid w:val="002246A1"/>
    <w:rsid w:val="00224FA9"/>
    <w:rsid w:val="00224FCC"/>
    <w:rsid w:val="002253E9"/>
    <w:rsid w:val="002257ED"/>
    <w:rsid w:val="002273F6"/>
    <w:rsid w:val="00227CE9"/>
    <w:rsid w:val="002320D1"/>
    <w:rsid w:val="002320D3"/>
    <w:rsid w:val="00233A72"/>
    <w:rsid w:val="00236623"/>
    <w:rsid w:val="00236949"/>
    <w:rsid w:val="002370D6"/>
    <w:rsid w:val="00237E70"/>
    <w:rsid w:val="00241ED8"/>
    <w:rsid w:val="002420B4"/>
    <w:rsid w:val="00242DE2"/>
    <w:rsid w:val="00243126"/>
    <w:rsid w:val="0024429F"/>
    <w:rsid w:val="002442C2"/>
    <w:rsid w:val="00244887"/>
    <w:rsid w:val="00244BAB"/>
    <w:rsid w:val="00244F7A"/>
    <w:rsid w:val="0024574F"/>
    <w:rsid w:val="00245751"/>
    <w:rsid w:val="00245A89"/>
    <w:rsid w:val="002476BF"/>
    <w:rsid w:val="002503EA"/>
    <w:rsid w:val="002519A8"/>
    <w:rsid w:val="00253509"/>
    <w:rsid w:val="00254D13"/>
    <w:rsid w:val="00255473"/>
    <w:rsid w:val="0025566C"/>
    <w:rsid w:val="00256124"/>
    <w:rsid w:val="0025650D"/>
    <w:rsid w:val="002566D6"/>
    <w:rsid w:val="00257936"/>
    <w:rsid w:val="00257C8F"/>
    <w:rsid w:val="00257D5C"/>
    <w:rsid w:val="0026039B"/>
    <w:rsid w:val="0026047F"/>
    <w:rsid w:val="00260E58"/>
    <w:rsid w:val="00261D40"/>
    <w:rsid w:val="0026285C"/>
    <w:rsid w:val="00262939"/>
    <w:rsid w:val="00262FB0"/>
    <w:rsid w:val="00263303"/>
    <w:rsid w:val="002638A1"/>
    <w:rsid w:val="00263FBE"/>
    <w:rsid w:val="002640D4"/>
    <w:rsid w:val="002643CA"/>
    <w:rsid w:val="00264ED4"/>
    <w:rsid w:val="002650D3"/>
    <w:rsid w:val="002652D6"/>
    <w:rsid w:val="00265B99"/>
    <w:rsid w:val="002701A0"/>
    <w:rsid w:val="00270581"/>
    <w:rsid w:val="00271742"/>
    <w:rsid w:val="002737A9"/>
    <w:rsid w:val="002741E0"/>
    <w:rsid w:val="002765E1"/>
    <w:rsid w:val="00276989"/>
    <w:rsid w:val="00276F5D"/>
    <w:rsid w:val="00277B4C"/>
    <w:rsid w:val="002802AF"/>
    <w:rsid w:val="0028031A"/>
    <w:rsid w:val="00281394"/>
    <w:rsid w:val="00281B3A"/>
    <w:rsid w:val="00281C98"/>
    <w:rsid w:val="00281E3C"/>
    <w:rsid w:val="002826F0"/>
    <w:rsid w:val="00283EF9"/>
    <w:rsid w:val="0028435D"/>
    <w:rsid w:val="002844D8"/>
    <w:rsid w:val="00284B0F"/>
    <w:rsid w:val="00284B80"/>
    <w:rsid w:val="00284EDF"/>
    <w:rsid w:val="00285B38"/>
    <w:rsid w:val="00287546"/>
    <w:rsid w:val="00291B3F"/>
    <w:rsid w:val="00292827"/>
    <w:rsid w:val="0029615C"/>
    <w:rsid w:val="002966B0"/>
    <w:rsid w:val="0029737B"/>
    <w:rsid w:val="002978C0"/>
    <w:rsid w:val="00297D7F"/>
    <w:rsid w:val="00297FB1"/>
    <w:rsid w:val="002A063D"/>
    <w:rsid w:val="002A06F7"/>
    <w:rsid w:val="002A07B0"/>
    <w:rsid w:val="002A0A94"/>
    <w:rsid w:val="002A1E58"/>
    <w:rsid w:val="002A2816"/>
    <w:rsid w:val="002A2884"/>
    <w:rsid w:val="002A29CA"/>
    <w:rsid w:val="002A2B3A"/>
    <w:rsid w:val="002A2C93"/>
    <w:rsid w:val="002A3D29"/>
    <w:rsid w:val="002A4587"/>
    <w:rsid w:val="002A59CF"/>
    <w:rsid w:val="002B07F9"/>
    <w:rsid w:val="002B0F75"/>
    <w:rsid w:val="002B121D"/>
    <w:rsid w:val="002B18C3"/>
    <w:rsid w:val="002B1AF4"/>
    <w:rsid w:val="002B1E86"/>
    <w:rsid w:val="002B2DDB"/>
    <w:rsid w:val="002B2F61"/>
    <w:rsid w:val="002B34E9"/>
    <w:rsid w:val="002B3B6C"/>
    <w:rsid w:val="002B4DF9"/>
    <w:rsid w:val="002B537E"/>
    <w:rsid w:val="002B5762"/>
    <w:rsid w:val="002B57B9"/>
    <w:rsid w:val="002B6DDE"/>
    <w:rsid w:val="002B732E"/>
    <w:rsid w:val="002C02FA"/>
    <w:rsid w:val="002C0A58"/>
    <w:rsid w:val="002C1F60"/>
    <w:rsid w:val="002C5590"/>
    <w:rsid w:val="002C59D5"/>
    <w:rsid w:val="002C631B"/>
    <w:rsid w:val="002C64AF"/>
    <w:rsid w:val="002C6591"/>
    <w:rsid w:val="002D00CF"/>
    <w:rsid w:val="002D0370"/>
    <w:rsid w:val="002D0766"/>
    <w:rsid w:val="002D09FA"/>
    <w:rsid w:val="002D0D6B"/>
    <w:rsid w:val="002D144B"/>
    <w:rsid w:val="002D1CB6"/>
    <w:rsid w:val="002D23CA"/>
    <w:rsid w:val="002D23F1"/>
    <w:rsid w:val="002D283B"/>
    <w:rsid w:val="002D28FB"/>
    <w:rsid w:val="002D3DA9"/>
    <w:rsid w:val="002D402E"/>
    <w:rsid w:val="002D4130"/>
    <w:rsid w:val="002D57A5"/>
    <w:rsid w:val="002D5A7A"/>
    <w:rsid w:val="002D5AEF"/>
    <w:rsid w:val="002D667B"/>
    <w:rsid w:val="002D6A9C"/>
    <w:rsid w:val="002D739F"/>
    <w:rsid w:val="002D747A"/>
    <w:rsid w:val="002D75EA"/>
    <w:rsid w:val="002E09C2"/>
    <w:rsid w:val="002E1044"/>
    <w:rsid w:val="002E11B0"/>
    <w:rsid w:val="002E1E4C"/>
    <w:rsid w:val="002E221B"/>
    <w:rsid w:val="002E2728"/>
    <w:rsid w:val="002E29B5"/>
    <w:rsid w:val="002E2E98"/>
    <w:rsid w:val="002E431E"/>
    <w:rsid w:val="002E45FA"/>
    <w:rsid w:val="002E4971"/>
    <w:rsid w:val="002E5EB0"/>
    <w:rsid w:val="002E65A8"/>
    <w:rsid w:val="002E69ED"/>
    <w:rsid w:val="002E6A4C"/>
    <w:rsid w:val="002E7F30"/>
    <w:rsid w:val="002F01E9"/>
    <w:rsid w:val="002F0326"/>
    <w:rsid w:val="002F0385"/>
    <w:rsid w:val="002F05C7"/>
    <w:rsid w:val="002F067E"/>
    <w:rsid w:val="002F0B44"/>
    <w:rsid w:val="002F1800"/>
    <w:rsid w:val="002F2F95"/>
    <w:rsid w:val="002F3336"/>
    <w:rsid w:val="002F3973"/>
    <w:rsid w:val="002F3C78"/>
    <w:rsid w:val="002F3F21"/>
    <w:rsid w:val="002F44B4"/>
    <w:rsid w:val="002F4B5B"/>
    <w:rsid w:val="002F587A"/>
    <w:rsid w:val="0030099F"/>
    <w:rsid w:val="00300A57"/>
    <w:rsid w:val="0030127D"/>
    <w:rsid w:val="00301711"/>
    <w:rsid w:val="00301D57"/>
    <w:rsid w:val="0030325C"/>
    <w:rsid w:val="00303B7F"/>
    <w:rsid w:val="0030497B"/>
    <w:rsid w:val="00305542"/>
    <w:rsid w:val="0030594D"/>
    <w:rsid w:val="00306A7D"/>
    <w:rsid w:val="00310158"/>
    <w:rsid w:val="00310866"/>
    <w:rsid w:val="00311C13"/>
    <w:rsid w:val="00311C9D"/>
    <w:rsid w:val="00313EC7"/>
    <w:rsid w:val="00315911"/>
    <w:rsid w:val="00316F8E"/>
    <w:rsid w:val="0031764A"/>
    <w:rsid w:val="00317983"/>
    <w:rsid w:val="00321244"/>
    <w:rsid w:val="00321904"/>
    <w:rsid w:val="00321CC8"/>
    <w:rsid w:val="00323229"/>
    <w:rsid w:val="003245F1"/>
    <w:rsid w:val="00325350"/>
    <w:rsid w:val="00325F03"/>
    <w:rsid w:val="00326028"/>
    <w:rsid w:val="00327374"/>
    <w:rsid w:val="00327E89"/>
    <w:rsid w:val="003300B5"/>
    <w:rsid w:val="00330B9B"/>
    <w:rsid w:val="00331069"/>
    <w:rsid w:val="0033175E"/>
    <w:rsid w:val="00331F5E"/>
    <w:rsid w:val="003328C5"/>
    <w:rsid w:val="00333EC7"/>
    <w:rsid w:val="0033480A"/>
    <w:rsid w:val="003363CD"/>
    <w:rsid w:val="003364AE"/>
    <w:rsid w:val="00340692"/>
    <w:rsid w:val="00341AD8"/>
    <w:rsid w:val="00341F97"/>
    <w:rsid w:val="00342721"/>
    <w:rsid w:val="00342E78"/>
    <w:rsid w:val="003442FB"/>
    <w:rsid w:val="003445A4"/>
    <w:rsid w:val="0034590D"/>
    <w:rsid w:val="0034607D"/>
    <w:rsid w:val="00346366"/>
    <w:rsid w:val="00347519"/>
    <w:rsid w:val="00347C5A"/>
    <w:rsid w:val="00350875"/>
    <w:rsid w:val="003515B3"/>
    <w:rsid w:val="00351652"/>
    <w:rsid w:val="00351FCA"/>
    <w:rsid w:val="00352D43"/>
    <w:rsid w:val="003532EA"/>
    <w:rsid w:val="00353B49"/>
    <w:rsid w:val="00353DEF"/>
    <w:rsid w:val="00353FAA"/>
    <w:rsid w:val="00354CC9"/>
    <w:rsid w:val="00355CB9"/>
    <w:rsid w:val="00356074"/>
    <w:rsid w:val="00356857"/>
    <w:rsid w:val="00356C95"/>
    <w:rsid w:val="003572C3"/>
    <w:rsid w:val="00357C90"/>
    <w:rsid w:val="00360A7A"/>
    <w:rsid w:val="00360B3D"/>
    <w:rsid w:val="00361448"/>
    <w:rsid w:val="0036257B"/>
    <w:rsid w:val="00362D9E"/>
    <w:rsid w:val="0036356D"/>
    <w:rsid w:val="00363653"/>
    <w:rsid w:val="003636EC"/>
    <w:rsid w:val="00364154"/>
    <w:rsid w:val="00364259"/>
    <w:rsid w:val="003643AB"/>
    <w:rsid w:val="00366747"/>
    <w:rsid w:val="003701D5"/>
    <w:rsid w:val="00370B10"/>
    <w:rsid w:val="00371F05"/>
    <w:rsid w:val="00371FA2"/>
    <w:rsid w:val="00372E06"/>
    <w:rsid w:val="00373C08"/>
    <w:rsid w:val="0037407F"/>
    <w:rsid w:val="00374606"/>
    <w:rsid w:val="00375C3E"/>
    <w:rsid w:val="00377196"/>
    <w:rsid w:val="003771AA"/>
    <w:rsid w:val="003775D3"/>
    <w:rsid w:val="00377E14"/>
    <w:rsid w:val="00377FD7"/>
    <w:rsid w:val="00380216"/>
    <w:rsid w:val="00380EDE"/>
    <w:rsid w:val="00381D35"/>
    <w:rsid w:val="00381E8F"/>
    <w:rsid w:val="00381EFC"/>
    <w:rsid w:val="00381F95"/>
    <w:rsid w:val="0038567F"/>
    <w:rsid w:val="00386CA7"/>
    <w:rsid w:val="00386CB4"/>
    <w:rsid w:val="00386EE2"/>
    <w:rsid w:val="00387003"/>
    <w:rsid w:val="0039101F"/>
    <w:rsid w:val="00392A37"/>
    <w:rsid w:val="00392E3F"/>
    <w:rsid w:val="00393142"/>
    <w:rsid w:val="003938FF"/>
    <w:rsid w:val="00393ACC"/>
    <w:rsid w:val="00394088"/>
    <w:rsid w:val="00394D63"/>
    <w:rsid w:val="00395CDA"/>
    <w:rsid w:val="00396062"/>
    <w:rsid w:val="003974FF"/>
    <w:rsid w:val="003A0041"/>
    <w:rsid w:val="003A087B"/>
    <w:rsid w:val="003A15BD"/>
    <w:rsid w:val="003A220C"/>
    <w:rsid w:val="003A24A2"/>
    <w:rsid w:val="003A2515"/>
    <w:rsid w:val="003A3F34"/>
    <w:rsid w:val="003A48D8"/>
    <w:rsid w:val="003A4C3F"/>
    <w:rsid w:val="003A4EA1"/>
    <w:rsid w:val="003A64B5"/>
    <w:rsid w:val="003B013B"/>
    <w:rsid w:val="003B16C4"/>
    <w:rsid w:val="003B1DBB"/>
    <w:rsid w:val="003B253D"/>
    <w:rsid w:val="003B3D50"/>
    <w:rsid w:val="003B3DF1"/>
    <w:rsid w:val="003B3F79"/>
    <w:rsid w:val="003B6AA0"/>
    <w:rsid w:val="003B6D1B"/>
    <w:rsid w:val="003B7A3B"/>
    <w:rsid w:val="003C0141"/>
    <w:rsid w:val="003C043C"/>
    <w:rsid w:val="003C0AC6"/>
    <w:rsid w:val="003C0CBB"/>
    <w:rsid w:val="003C0D2F"/>
    <w:rsid w:val="003C1B63"/>
    <w:rsid w:val="003C24B3"/>
    <w:rsid w:val="003C481E"/>
    <w:rsid w:val="003C5FCD"/>
    <w:rsid w:val="003C6119"/>
    <w:rsid w:val="003C7ECB"/>
    <w:rsid w:val="003D0E69"/>
    <w:rsid w:val="003D1828"/>
    <w:rsid w:val="003D18EB"/>
    <w:rsid w:val="003D1A3E"/>
    <w:rsid w:val="003D20AC"/>
    <w:rsid w:val="003D3342"/>
    <w:rsid w:val="003D3DF1"/>
    <w:rsid w:val="003D4E48"/>
    <w:rsid w:val="003D5D5B"/>
    <w:rsid w:val="003D6594"/>
    <w:rsid w:val="003D6E73"/>
    <w:rsid w:val="003E017E"/>
    <w:rsid w:val="003E056C"/>
    <w:rsid w:val="003E0913"/>
    <w:rsid w:val="003E2261"/>
    <w:rsid w:val="003E396C"/>
    <w:rsid w:val="003E4009"/>
    <w:rsid w:val="003E478F"/>
    <w:rsid w:val="003E502A"/>
    <w:rsid w:val="003E55F8"/>
    <w:rsid w:val="003E672F"/>
    <w:rsid w:val="003E7B3E"/>
    <w:rsid w:val="003F1D8D"/>
    <w:rsid w:val="003F2E8B"/>
    <w:rsid w:val="003F38E8"/>
    <w:rsid w:val="003F482D"/>
    <w:rsid w:val="003F4844"/>
    <w:rsid w:val="003F4CF9"/>
    <w:rsid w:val="003F60EA"/>
    <w:rsid w:val="003F69DD"/>
    <w:rsid w:val="003F7981"/>
    <w:rsid w:val="003F79FA"/>
    <w:rsid w:val="003F7BE3"/>
    <w:rsid w:val="0040043D"/>
    <w:rsid w:val="004012E6"/>
    <w:rsid w:val="00401763"/>
    <w:rsid w:val="00402FBE"/>
    <w:rsid w:val="00403367"/>
    <w:rsid w:val="00405857"/>
    <w:rsid w:val="0040596E"/>
    <w:rsid w:val="004064D4"/>
    <w:rsid w:val="004064EA"/>
    <w:rsid w:val="00410408"/>
    <w:rsid w:val="00410BF8"/>
    <w:rsid w:val="004112FE"/>
    <w:rsid w:val="00412A69"/>
    <w:rsid w:val="00412D4D"/>
    <w:rsid w:val="0041402F"/>
    <w:rsid w:val="004159EC"/>
    <w:rsid w:val="00415F67"/>
    <w:rsid w:val="00416902"/>
    <w:rsid w:val="00416CC1"/>
    <w:rsid w:val="00416E8D"/>
    <w:rsid w:val="00417EE0"/>
    <w:rsid w:val="004210AB"/>
    <w:rsid w:val="004213A1"/>
    <w:rsid w:val="00423498"/>
    <w:rsid w:val="00423A7B"/>
    <w:rsid w:val="00424731"/>
    <w:rsid w:val="00424757"/>
    <w:rsid w:val="00424AB8"/>
    <w:rsid w:val="00427631"/>
    <w:rsid w:val="0042764D"/>
    <w:rsid w:val="00430730"/>
    <w:rsid w:val="00430A5E"/>
    <w:rsid w:val="00430A80"/>
    <w:rsid w:val="00431D0C"/>
    <w:rsid w:val="00431E1F"/>
    <w:rsid w:val="00432658"/>
    <w:rsid w:val="00432D71"/>
    <w:rsid w:val="004349E3"/>
    <w:rsid w:val="00435351"/>
    <w:rsid w:val="00437325"/>
    <w:rsid w:val="004378FA"/>
    <w:rsid w:val="00437C41"/>
    <w:rsid w:val="00440C64"/>
    <w:rsid w:val="00440D09"/>
    <w:rsid w:val="0044133A"/>
    <w:rsid w:val="00441BA6"/>
    <w:rsid w:val="00442A63"/>
    <w:rsid w:val="00443EE6"/>
    <w:rsid w:val="004444A5"/>
    <w:rsid w:val="00444D6F"/>
    <w:rsid w:val="00445992"/>
    <w:rsid w:val="0044608D"/>
    <w:rsid w:val="00446A74"/>
    <w:rsid w:val="00446AC1"/>
    <w:rsid w:val="00446F6A"/>
    <w:rsid w:val="00447B41"/>
    <w:rsid w:val="00450B0E"/>
    <w:rsid w:val="00450E77"/>
    <w:rsid w:val="00453886"/>
    <w:rsid w:val="00454816"/>
    <w:rsid w:val="0045505A"/>
    <w:rsid w:val="00455139"/>
    <w:rsid w:val="0045559B"/>
    <w:rsid w:val="00455F22"/>
    <w:rsid w:val="00456619"/>
    <w:rsid w:val="00456EF7"/>
    <w:rsid w:val="004574E5"/>
    <w:rsid w:val="0045796B"/>
    <w:rsid w:val="00457FE5"/>
    <w:rsid w:val="0046032E"/>
    <w:rsid w:val="00460C10"/>
    <w:rsid w:val="00461890"/>
    <w:rsid w:val="00462C77"/>
    <w:rsid w:val="004639E0"/>
    <w:rsid w:val="004647DE"/>
    <w:rsid w:val="0046509B"/>
    <w:rsid w:val="00465F85"/>
    <w:rsid w:val="00467397"/>
    <w:rsid w:val="004675A1"/>
    <w:rsid w:val="004675AD"/>
    <w:rsid w:val="00470B8E"/>
    <w:rsid w:val="0047476A"/>
    <w:rsid w:val="00475394"/>
    <w:rsid w:val="00475F98"/>
    <w:rsid w:val="00476022"/>
    <w:rsid w:val="0047786A"/>
    <w:rsid w:val="00481C02"/>
    <w:rsid w:val="00482073"/>
    <w:rsid w:val="0048220B"/>
    <w:rsid w:val="004823C6"/>
    <w:rsid w:val="00482822"/>
    <w:rsid w:val="00482B44"/>
    <w:rsid w:val="00483656"/>
    <w:rsid w:val="00483E18"/>
    <w:rsid w:val="00484ED5"/>
    <w:rsid w:val="00485E2E"/>
    <w:rsid w:val="00486311"/>
    <w:rsid w:val="004870A4"/>
    <w:rsid w:val="00487917"/>
    <w:rsid w:val="004905D4"/>
    <w:rsid w:val="004913E9"/>
    <w:rsid w:val="004928DD"/>
    <w:rsid w:val="00492E0C"/>
    <w:rsid w:val="00493208"/>
    <w:rsid w:val="004934D7"/>
    <w:rsid w:val="00493B56"/>
    <w:rsid w:val="00493DDE"/>
    <w:rsid w:val="0049440B"/>
    <w:rsid w:val="00494FBE"/>
    <w:rsid w:val="004955E6"/>
    <w:rsid w:val="00495626"/>
    <w:rsid w:val="004957D2"/>
    <w:rsid w:val="00495E92"/>
    <w:rsid w:val="004962AA"/>
    <w:rsid w:val="004965FF"/>
    <w:rsid w:val="00496995"/>
    <w:rsid w:val="00497F61"/>
    <w:rsid w:val="004A0B77"/>
    <w:rsid w:val="004A214D"/>
    <w:rsid w:val="004A3153"/>
    <w:rsid w:val="004A370E"/>
    <w:rsid w:val="004A3727"/>
    <w:rsid w:val="004A4080"/>
    <w:rsid w:val="004A5093"/>
    <w:rsid w:val="004A554D"/>
    <w:rsid w:val="004A5C13"/>
    <w:rsid w:val="004A5C45"/>
    <w:rsid w:val="004A679B"/>
    <w:rsid w:val="004A7C78"/>
    <w:rsid w:val="004A7D32"/>
    <w:rsid w:val="004B0655"/>
    <w:rsid w:val="004B12B8"/>
    <w:rsid w:val="004B13CA"/>
    <w:rsid w:val="004B1F1E"/>
    <w:rsid w:val="004B224B"/>
    <w:rsid w:val="004B22C3"/>
    <w:rsid w:val="004B281A"/>
    <w:rsid w:val="004B3547"/>
    <w:rsid w:val="004B373F"/>
    <w:rsid w:val="004B39E7"/>
    <w:rsid w:val="004B3D4F"/>
    <w:rsid w:val="004B3FEA"/>
    <w:rsid w:val="004B42AF"/>
    <w:rsid w:val="004B45AC"/>
    <w:rsid w:val="004B4EEB"/>
    <w:rsid w:val="004B50C0"/>
    <w:rsid w:val="004B5678"/>
    <w:rsid w:val="004B5F3E"/>
    <w:rsid w:val="004B6C42"/>
    <w:rsid w:val="004B6E28"/>
    <w:rsid w:val="004B7C08"/>
    <w:rsid w:val="004B7D32"/>
    <w:rsid w:val="004C0F5A"/>
    <w:rsid w:val="004C19A3"/>
    <w:rsid w:val="004C2961"/>
    <w:rsid w:val="004C47E7"/>
    <w:rsid w:val="004C4963"/>
    <w:rsid w:val="004C49CC"/>
    <w:rsid w:val="004C4C6F"/>
    <w:rsid w:val="004C5132"/>
    <w:rsid w:val="004C54FA"/>
    <w:rsid w:val="004C675F"/>
    <w:rsid w:val="004C74D7"/>
    <w:rsid w:val="004C7A6E"/>
    <w:rsid w:val="004D0685"/>
    <w:rsid w:val="004D0FF0"/>
    <w:rsid w:val="004D1AFF"/>
    <w:rsid w:val="004D1B8E"/>
    <w:rsid w:val="004D349A"/>
    <w:rsid w:val="004D428F"/>
    <w:rsid w:val="004D4BAD"/>
    <w:rsid w:val="004D5616"/>
    <w:rsid w:val="004D57ED"/>
    <w:rsid w:val="004D5D31"/>
    <w:rsid w:val="004D6B85"/>
    <w:rsid w:val="004D6C9B"/>
    <w:rsid w:val="004D7FC1"/>
    <w:rsid w:val="004E148C"/>
    <w:rsid w:val="004E14BE"/>
    <w:rsid w:val="004E2473"/>
    <w:rsid w:val="004E553C"/>
    <w:rsid w:val="004E5A3A"/>
    <w:rsid w:val="004E5C4A"/>
    <w:rsid w:val="004E5D67"/>
    <w:rsid w:val="004E62E0"/>
    <w:rsid w:val="004E739C"/>
    <w:rsid w:val="004F0DAE"/>
    <w:rsid w:val="004F0E10"/>
    <w:rsid w:val="004F13A9"/>
    <w:rsid w:val="004F140C"/>
    <w:rsid w:val="004F1F51"/>
    <w:rsid w:val="004F235B"/>
    <w:rsid w:val="004F2C2E"/>
    <w:rsid w:val="004F3778"/>
    <w:rsid w:val="004F41E3"/>
    <w:rsid w:val="004F4631"/>
    <w:rsid w:val="004F547C"/>
    <w:rsid w:val="004F574B"/>
    <w:rsid w:val="004F5D1E"/>
    <w:rsid w:val="00500FAB"/>
    <w:rsid w:val="0050126F"/>
    <w:rsid w:val="00501771"/>
    <w:rsid w:val="00501F9F"/>
    <w:rsid w:val="00501FD8"/>
    <w:rsid w:val="005024AC"/>
    <w:rsid w:val="00502655"/>
    <w:rsid w:val="00502DE2"/>
    <w:rsid w:val="005030B3"/>
    <w:rsid w:val="005067D1"/>
    <w:rsid w:val="00506849"/>
    <w:rsid w:val="005071AE"/>
    <w:rsid w:val="00507DE0"/>
    <w:rsid w:val="00510546"/>
    <w:rsid w:val="00511588"/>
    <w:rsid w:val="005116A3"/>
    <w:rsid w:val="0051174B"/>
    <w:rsid w:val="005117A1"/>
    <w:rsid w:val="00511ADA"/>
    <w:rsid w:val="00512429"/>
    <w:rsid w:val="00512C7D"/>
    <w:rsid w:val="0051336E"/>
    <w:rsid w:val="0051518C"/>
    <w:rsid w:val="00515A84"/>
    <w:rsid w:val="00517227"/>
    <w:rsid w:val="005173E5"/>
    <w:rsid w:val="005179B7"/>
    <w:rsid w:val="00517C12"/>
    <w:rsid w:val="00520401"/>
    <w:rsid w:val="00520AD0"/>
    <w:rsid w:val="00521440"/>
    <w:rsid w:val="005214C0"/>
    <w:rsid w:val="00521B1F"/>
    <w:rsid w:val="00521D63"/>
    <w:rsid w:val="005224D7"/>
    <w:rsid w:val="0052282F"/>
    <w:rsid w:val="00524385"/>
    <w:rsid w:val="0052459D"/>
    <w:rsid w:val="00526625"/>
    <w:rsid w:val="00526654"/>
    <w:rsid w:val="00526737"/>
    <w:rsid w:val="0052750B"/>
    <w:rsid w:val="00530275"/>
    <w:rsid w:val="005318D1"/>
    <w:rsid w:val="00532175"/>
    <w:rsid w:val="00532611"/>
    <w:rsid w:val="0053281A"/>
    <w:rsid w:val="00532F42"/>
    <w:rsid w:val="005331EB"/>
    <w:rsid w:val="00533C54"/>
    <w:rsid w:val="00533F32"/>
    <w:rsid w:val="00534518"/>
    <w:rsid w:val="00535679"/>
    <w:rsid w:val="0053586E"/>
    <w:rsid w:val="00540A0E"/>
    <w:rsid w:val="00540E61"/>
    <w:rsid w:val="00540F56"/>
    <w:rsid w:val="00541D10"/>
    <w:rsid w:val="00542066"/>
    <w:rsid w:val="0054372F"/>
    <w:rsid w:val="00544F85"/>
    <w:rsid w:val="005458DA"/>
    <w:rsid w:val="00545F6E"/>
    <w:rsid w:val="00546668"/>
    <w:rsid w:val="00546AAF"/>
    <w:rsid w:val="00546ECE"/>
    <w:rsid w:val="00547123"/>
    <w:rsid w:val="00547C44"/>
    <w:rsid w:val="005507DF"/>
    <w:rsid w:val="00551E90"/>
    <w:rsid w:val="00552542"/>
    <w:rsid w:val="00553003"/>
    <w:rsid w:val="00553635"/>
    <w:rsid w:val="00553AC3"/>
    <w:rsid w:val="005545E8"/>
    <w:rsid w:val="00554DA7"/>
    <w:rsid w:val="00555A4E"/>
    <w:rsid w:val="00555A7C"/>
    <w:rsid w:val="005563C1"/>
    <w:rsid w:val="00556EC3"/>
    <w:rsid w:val="00557B25"/>
    <w:rsid w:val="00557FB6"/>
    <w:rsid w:val="0056029E"/>
    <w:rsid w:val="005652DE"/>
    <w:rsid w:val="00565413"/>
    <w:rsid w:val="00565B13"/>
    <w:rsid w:val="00565E57"/>
    <w:rsid w:val="00566395"/>
    <w:rsid w:val="005667E2"/>
    <w:rsid w:val="00567EA4"/>
    <w:rsid w:val="00570A4B"/>
    <w:rsid w:val="00573181"/>
    <w:rsid w:val="00573693"/>
    <w:rsid w:val="005738CD"/>
    <w:rsid w:val="0057409A"/>
    <w:rsid w:val="00574259"/>
    <w:rsid w:val="00574D61"/>
    <w:rsid w:val="005769C7"/>
    <w:rsid w:val="00576D41"/>
    <w:rsid w:val="00576D6D"/>
    <w:rsid w:val="00576FFB"/>
    <w:rsid w:val="005772FA"/>
    <w:rsid w:val="00577772"/>
    <w:rsid w:val="005778AA"/>
    <w:rsid w:val="00577D4F"/>
    <w:rsid w:val="0058039A"/>
    <w:rsid w:val="005810EA"/>
    <w:rsid w:val="005813E7"/>
    <w:rsid w:val="005817BB"/>
    <w:rsid w:val="00581DD8"/>
    <w:rsid w:val="00582018"/>
    <w:rsid w:val="00582754"/>
    <w:rsid w:val="005844AA"/>
    <w:rsid w:val="00584C47"/>
    <w:rsid w:val="00584E98"/>
    <w:rsid w:val="00585167"/>
    <w:rsid w:val="005865AF"/>
    <w:rsid w:val="00586C33"/>
    <w:rsid w:val="00586C40"/>
    <w:rsid w:val="0058751C"/>
    <w:rsid w:val="00587DA3"/>
    <w:rsid w:val="0059127E"/>
    <w:rsid w:val="00591B2E"/>
    <w:rsid w:val="00592360"/>
    <w:rsid w:val="0059242A"/>
    <w:rsid w:val="0059388A"/>
    <w:rsid w:val="00594F3D"/>
    <w:rsid w:val="00595C92"/>
    <w:rsid w:val="00596000"/>
    <w:rsid w:val="0059678E"/>
    <w:rsid w:val="005967CF"/>
    <w:rsid w:val="005A0349"/>
    <w:rsid w:val="005A193A"/>
    <w:rsid w:val="005A2107"/>
    <w:rsid w:val="005A361A"/>
    <w:rsid w:val="005A3FBC"/>
    <w:rsid w:val="005A4363"/>
    <w:rsid w:val="005A5B49"/>
    <w:rsid w:val="005A5B83"/>
    <w:rsid w:val="005A65F3"/>
    <w:rsid w:val="005A673C"/>
    <w:rsid w:val="005A689B"/>
    <w:rsid w:val="005A7A31"/>
    <w:rsid w:val="005B0402"/>
    <w:rsid w:val="005B06A6"/>
    <w:rsid w:val="005B0A65"/>
    <w:rsid w:val="005B3DF1"/>
    <w:rsid w:val="005B409E"/>
    <w:rsid w:val="005B40A9"/>
    <w:rsid w:val="005B45E4"/>
    <w:rsid w:val="005B5A50"/>
    <w:rsid w:val="005B5E2A"/>
    <w:rsid w:val="005B63D7"/>
    <w:rsid w:val="005B6D2B"/>
    <w:rsid w:val="005B735F"/>
    <w:rsid w:val="005B7CA7"/>
    <w:rsid w:val="005C08EF"/>
    <w:rsid w:val="005C1183"/>
    <w:rsid w:val="005C1A79"/>
    <w:rsid w:val="005C1AC7"/>
    <w:rsid w:val="005C43C4"/>
    <w:rsid w:val="005C445F"/>
    <w:rsid w:val="005C5AFE"/>
    <w:rsid w:val="005C5E92"/>
    <w:rsid w:val="005C66EB"/>
    <w:rsid w:val="005D00AD"/>
    <w:rsid w:val="005D00E4"/>
    <w:rsid w:val="005D0710"/>
    <w:rsid w:val="005D0A34"/>
    <w:rsid w:val="005D0B03"/>
    <w:rsid w:val="005D1C6E"/>
    <w:rsid w:val="005D2568"/>
    <w:rsid w:val="005D2685"/>
    <w:rsid w:val="005D3A1E"/>
    <w:rsid w:val="005D3E93"/>
    <w:rsid w:val="005D4227"/>
    <w:rsid w:val="005D4E06"/>
    <w:rsid w:val="005D4E40"/>
    <w:rsid w:val="005D5A3F"/>
    <w:rsid w:val="005D702A"/>
    <w:rsid w:val="005E0F50"/>
    <w:rsid w:val="005E1BDC"/>
    <w:rsid w:val="005E24A3"/>
    <w:rsid w:val="005E2AEA"/>
    <w:rsid w:val="005E34B9"/>
    <w:rsid w:val="005E3658"/>
    <w:rsid w:val="005E50B9"/>
    <w:rsid w:val="005E517A"/>
    <w:rsid w:val="005E51D8"/>
    <w:rsid w:val="005E5C3D"/>
    <w:rsid w:val="005E5ED5"/>
    <w:rsid w:val="005E5FAB"/>
    <w:rsid w:val="005E7DBB"/>
    <w:rsid w:val="005F0074"/>
    <w:rsid w:val="005F129F"/>
    <w:rsid w:val="005F2193"/>
    <w:rsid w:val="005F2914"/>
    <w:rsid w:val="005F3695"/>
    <w:rsid w:val="005F3F89"/>
    <w:rsid w:val="005F5841"/>
    <w:rsid w:val="005F6885"/>
    <w:rsid w:val="005F6A99"/>
    <w:rsid w:val="005F6E6C"/>
    <w:rsid w:val="005F70B1"/>
    <w:rsid w:val="005F7174"/>
    <w:rsid w:val="005F7196"/>
    <w:rsid w:val="005F7D4D"/>
    <w:rsid w:val="00601496"/>
    <w:rsid w:val="006018F5"/>
    <w:rsid w:val="006028AE"/>
    <w:rsid w:val="006028D3"/>
    <w:rsid w:val="00602B86"/>
    <w:rsid w:val="00602F4C"/>
    <w:rsid w:val="006032BB"/>
    <w:rsid w:val="00603651"/>
    <w:rsid w:val="0060457E"/>
    <w:rsid w:val="00605D87"/>
    <w:rsid w:val="00607395"/>
    <w:rsid w:val="006116FB"/>
    <w:rsid w:val="00611BB4"/>
    <w:rsid w:val="00611F39"/>
    <w:rsid w:val="006122CF"/>
    <w:rsid w:val="00612459"/>
    <w:rsid w:val="00613804"/>
    <w:rsid w:val="00613C42"/>
    <w:rsid w:val="0061405E"/>
    <w:rsid w:val="00614363"/>
    <w:rsid w:val="006160B0"/>
    <w:rsid w:val="0061657C"/>
    <w:rsid w:val="00616CB4"/>
    <w:rsid w:val="00616E45"/>
    <w:rsid w:val="00616F4F"/>
    <w:rsid w:val="00617226"/>
    <w:rsid w:val="006173F5"/>
    <w:rsid w:val="0061794D"/>
    <w:rsid w:val="00617A8E"/>
    <w:rsid w:val="00620883"/>
    <w:rsid w:val="00620A84"/>
    <w:rsid w:val="00622EB6"/>
    <w:rsid w:val="006251DA"/>
    <w:rsid w:val="006256E1"/>
    <w:rsid w:val="00627530"/>
    <w:rsid w:val="0063061C"/>
    <w:rsid w:val="0063076B"/>
    <w:rsid w:val="006307FF"/>
    <w:rsid w:val="00630C53"/>
    <w:rsid w:val="00631425"/>
    <w:rsid w:val="006320BE"/>
    <w:rsid w:val="006325A4"/>
    <w:rsid w:val="0063288C"/>
    <w:rsid w:val="00632987"/>
    <w:rsid w:val="00633463"/>
    <w:rsid w:val="00634E05"/>
    <w:rsid w:val="0063616C"/>
    <w:rsid w:val="00637497"/>
    <w:rsid w:val="00640AA2"/>
    <w:rsid w:val="00641EA2"/>
    <w:rsid w:val="00642084"/>
    <w:rsid w:val="00642130"/>
    <w:rsid w:val="0064243A"/>
    <w:rsid w:val="00643208"/>
    <w:rsid w:val="00643E4B"/>
    <w:rsid w:val="00644A64"/>
    <w:rsid w:val="00645241"/>
    <w:rsid w:val="0064660A"/>
    <w:rsid w:val="00646610"/>
    <w:rsid w:val="00646946"/>
    <w:rsid w:val="00647C1C"/>
    <w:rsid w:val="00647CA4"/>
    <w:rsid w:val="00650706"/>
    <w:rsid w:val="006513AA"/>
    <w:rsid w:val="006515A6"/>
    <w:rsid w:val="00651B09"/>
    <w:rsid w:val="00651EC8"/>
    <w:rsid w:val="006525F9"/>
    <w:rsid w:val="006526B8"/>
    <w:rsid w:val="00652E6C"/>
    <w:rsid w:val="00653231"/>
    <w:rsid w:val="0065529E"/>
    <w:rsid w:val="00656050"/>
    <w:rsid w:val="006568BA"/>
    <w:rsid w:val="00656A1A"/>
    <w:rsid w:val="0065714A"/>
    <w:rsid w:val="006579F3"/>
    <w:rsid w:val="00660833"/>
    <w:rsid w:val="00660838"/>
    <w:rsid w:val="006612BD"/>
    <w:rsid w:val="0066161E"/>
    <w:rsid w:val="0066190B"/>
    <w:rsid w:val="00661BD3"/>
    <w:rsid w:val="00663909"/>
    <w:rsid w:val="00663B64"/>
    <w:rsid w:val="00664113"/>
    <w:rsid w:val="006641DB"/>
    <w:rsid w:val="006664C5"/>
    <w:rsid w:val="00666747"/>
    <w:rsid w:val="00666A26"/>
    <w:rsid w:val="00666F2F"/>
    <w:rsid w:val="00667C31"/>
    <w:rsid w:val="006706A7"/>
    <w:rsid w:val="0067235E"/>
    <w:rsid w:val="00672369"/>
    <w:rsid w:val="00672A50"/>
    <w:rsid w:val="00672D64"/>
    <w:rsid w:val="00673DC4"/>
    <w:rsid w:val="0067447A"/>
    <w:rsid w:val="006747C9"/>
    <w:rsid w:val="006752B6"/>
    <w:rsid w:val="006755C3"/>
    <w:rsid w:val="00675CF5"/>
    <w:rsid w:val="00676503"/>
    <w:rsid w:val="00676AE4"/>
    <w:rsid w:val="00676D5B"/>
    <w:rsid w:val="00677052"/>
    <w:rsid w:val="006807F3"/>
    <w:rsid w:val="0068127E"/>
    <w:rsid w:val="00681653"/>
    <w:rsid w:val="0068217F"/>
    <w:rsid w:val="006825D0"/>
    <w:rsid w:val="00683080"/>
    <w:rsid w:val="006840BC"/>
    <w:rsid w:val="00684C53"/>
    <w:rsid w:val="00684CB5"/>
    <w:rsid w:val="00685220"/>
    <w:rsid w:val="00685262"/>
    <w:rsid w:val="00686A22"/>
    <w:rsid w:val="006900F4"/>
    <w:rsid w:val="00690B8C"/>
    <w:rsid w:val="00690D22"/>
    <w:rsid w:val="006910C5"/>
    <w:rsid w:val="00692BC1"/>
    <w:rsid w:val="00693143"/>
    <w:rsid w:val="00693601"/>
    <w:rsid w:val="00693C3A"/>
    <w:rsid w:val="00695100"/>
    <w:rsid w:val="00696228"/>
    <w:rsid w:val="006965EC"/>
    <w:rsid w:val="006975DF"/>
    <w:rsid w:val="006975E4"/>
    <w:rsid w:val="00697DE6"/>
    <w:rsid w:val="006A088D"/>
    <w:rsid w:val="006A1EF0"/>
    <w:rsid w:val="006A3143"/>
    <w:rsid w:val="006A333B"/>
    <w:rsid w:val="006A5AAE"/>
    <w:rsid w:val="006A5E22"/>
    <w:rsid w:val="006A6577"/>
    <w:rsid w:val="006A6BA0"/>
    <w:rsid w:val="006A7542"/>
    <w:rsid w:val="006B050A"/>
    <w:rsid w:val="006B0CBC"/>
    <w:rsid w:val="006B0D96"/>
    <w:rsid w:val="006B20F0"/>
    <w:rsid w:val="006B309C"/>
    <w:rsid w:val="006B373B"/>
    <w:rsid w:val="006B46F7"/>
    <w:rsid w:val="006B5F6D"/>
    <w:rsid w:val="006B61F7"/>
    <w:rsid w:val="006B6BE8"/>
    <w:rsid w:val="006B6F55"/>
    <w:rsid w:val="006B756E"/>
    <w:rsid w:val="006B7997"/>
    <w:rsid w:val="006B7A28"/>
    <w:rsid w:val="006C06D3"/>
    <w:rsid w:val="006C0EB3"/>
    <w:rsid w:val="006C10DA"/>
    <w:rsid w:val="006C2603"/>
    <w:rsid w:val="006C4F33"/>
    <w:rsid w:val="006C59A9"/>
    <w:rsid w:val="006C61C8"/>
    <w:rsid w:val="006C652D"/>
    <w:rsid w:val="006C6758"/>
    <w:rsid w:val="006C7098"/>
    <w:rsid w:val="006C7358"/>
    <w:rsid w:val="006C77F4"/>
    <w:rsid w:val="006C7BDF"/>
    <w:rsid w:val="006C7E40"/>
    <w:rsid w:val="006D04D8"/>
    <w:rsid w:val="006D06E1"/>
    <w:rsid w:val="006D06F3"/>
    <w:rsid w:val="006D2A0D"/>
    <w:rsid w:val="006D32DF"/>
    <w:rsid w:val="006D34FD"/>
    <w:rsid w:val="006D4691"/>
    <w:rsid w:val="006D4863"/>
    <w:rsid w:val="006D49DD"/>
    <w:rsid w:val="006D5388"/>
    <w:rsid w:val="006D68EB"/>
    <w:rsid w:val="006D6E22"/>
    <w:rsid w:val="006D6F31"/>
    <w:rsid w:val="006D73A8"/>
    <w:rsid w:val="006D7488"/>
    <w:rsid w:val="006E08E1"/>
    <w:rsid w:val="006E0B92"/>
    <w:rsid w:val="006E0C26"/>
    <w:rsid w:val="006E1896"/>
    <w:rsid w:val="006E2E94"/>
    <w:rsid w:val="006E410F"/>
    <w:rsid w:val="006E41E5"/>
    <w:rsid w:val="006E425F"/>
    <w:rsid w:val="006E42BD"/>
    <w:rsid w:val="006E4556"/>
    <w:rsid w:val="006E4580"/>
    <w:rsid w:val="006E740E"/>
    <w:rsid w:val="006E7449"/>
    <w:rsid w:val="006F13BE"/>
    <w:rsid w:val="006F21D7"/>
    <w:rsid w:val="006F3362"/>
    <w:rsid w:val="006F47A3"/>
    <w:rsid w:val="006F48C5"/>
    <w:rsid w:val="006F4939"/>
    <w:rsid w:val="006F4F24"/>
    <w:rsid w:val="006F5670"/>
    <w:rsid w:val="006F67B8"/>
    <w:rsid w:val="006F6DEE"/>
    <w:rsid w:val="006F6F70"/>
    <w:rsid w:val="006F71ED"/>
    <w:rsid w:val="006F75B9"/>
    <w:rsid w:val="006F7D1E"/>
    <w:rsid w:val="006F7F90"/>
    <w:rsid w:val="00700461"/>
    <w:rsid w:val="00700B45"/>
    <w:rsid w:val="007014DB"/>
    <w:rsid w:val="00702A6C"/>
    <w:rsid w:val="007032BD"/>
    <w:rsid w:val="00704A8B"/>
    <w:rsid w:val="00705658"/>
    <w:rsid w:val="00706106"/>
    <w:rsid w:val="00706194"/>
    <w:rsid w:val="007066EE"/>
    <w:rsid w:val="00706E99"/>
    <w:rsid w:val="00707937"/>
    <w:rsid w:val="00707FE1"/>
    <w:rsid w:val="007104A0"/>
    <w:rsid w:val="0071050E"/>
    <w:rsid w:val="007111EE"/>
    <w:rsid w:val="007118CF"/>
    <w:rsid w:val="00712083"/>
    <w:rsid w:val="00712935"/>
    <w:rsid w:val="00712EAC"/>
    <w:rsid w:val="00713EC7"/>
    <w:rsid w:val="007144A6"/>
    <w:rsid w:val="00714A95"/>
    <w:rsid w:val="00714B8B"/>
    <w:rsid w:val="00714D15"/>
    <w:rsid w:val="007159D0"/>
    <w:rsid w:val="00716518"/>
    <w:rsid w:val="0071664B"/>
    <w:rsid w:val="00716798"/>
    <w:rsid w:val="00716F9C"/>
    <w:rsid w:val="007172C7"/>
    <w:rsid w:val="00717F12"/>
    <w:rsid w:val="00720101"/>
    <w:rsid w:val="007204C4"/>
    <w:rsid w:val="007208D0"/>
    <w:rsid w:val="007222DA"/>
    <w:rsid w:val="0072251D"/>
    <w:rsid w:val="00723062"/>
    <w:rsid w:val="00723162"/>
    <w:rsid w:val="00724B7B"/>
    <w:rsid w:val="00724B9B"/>
    <w:rsid w:val="00727A37"/>
    <w:rsid w:val="00727CD8"/>
    <w:rsid w:val="00727D85"/>
    <w:rsid w:val="007313F2"/>
    <w:rsid w:val="007321BD"/>
    <w:rsid w:val="00732296"/>
    <w:rsid w:val="0073287D"/>
    <w:rsid w:val="00732E3B"/>
    <w:rsid w:val="00732FE2"/>
    <w:rsid w:val="0073354B"/>
    <w:rsid w:val="0073388C"/>
    <w:rsid w:val="00733BDD"/>
    <w:rsid w:val="00733F92"/>
    <w:rsid w:val="007341B3"/>
    <w:rsid w:val="007343D0"/>
    <w:rsid w:val="0073478A"/>
    <w:rsid w:val="00734C12"/>
    <w:rsid w:val="007351F3"/>
    <w:rsid w:val="00736600"/>
    <w:rsid w:val="0073709D"/>
    <w:rsid w:val="00737100"/>
    <w:rsid w:val="00737705"/>
    <w:rsid w:val="007406BB"/>
    <w:rsid w:val="0074080B"/>
    <w:rsid w:val="00740EEA"/>
    <w:rsid w:val="007417A3"/>
    <w:rsid w:val="00741B15"/>
    <w:rsid w:val="00741CFB"/>
    <w:rsid w:val="00741D95"/>
    <w:rsid w:val="007425BE"/>
    <w:rsid w:val="0074341C"/>
    <w:rsid w:val="00743F10"/>
    <w:rsid w:val="00744887"/>
    <w:rsid w:val="007459CA"/>
    <w:rsid w:val="00745D17"/>
    <w:rsid w:val="00745D24"/>
    <w:rsid w:val="007467A5"/>
    <w:rsid w:val="007467A7"/>
    <w:rsid w:val="00746DF8"/>
    <w:rsid w:val="00746F5E"/>
    <w:rsid w:val="00746FD8"/>
    <w:rsid w:val="00747060"/>
    <w:rsid w:val="00751019"/>
    <w:rsid w:val="00751903"/>
    <w:rsid w:val="00751B11"/>
    <w:rsid w:val="0075473A"/>
    <w:rsid w:val="00754AF5"/>
    <w:rsid w:val="00754BDF"/>
    <w:rsid w:val="00754CF8"/>
    <w:rsid w:val="0075557A"/>
    <w:rsid w:val="0075638D"/>
    <w:rsid w:val="0075676F"/>
    <w:rsid w:val="007567B5"/>
    <w:rsid w:val="00756E71"/>
    <w:rsid w:val="00756F52"/>
    <w:rsid w:val="00757E61"/>
    <w:rsid w:val="0076034E"/>
    <w:rsid w:val="00760481"/>
    <w:rsid w:val="00760826"/>
    <w:rsid w:val="007608F4"/>
    <w:rsid w:val="00760BF1"/>
    <w:rsid w:val="007616E3"/>
    <w:rsid w:val="00761DF1"/>
    <w:rsid w:val="00762ACD"/>
    <w:rsid w:val="007630D9"/>
    <w:rsid w:val="007634E7"/>
    <w:rsid w:val="00763FB4"/>
    <w:rsid w:val="00764957"/>
    <w:rsid w:val="00764BF1"/>
    <w:rsid w:val="00765D96"/>
    <w:rsid w:val="00765E45"/>
    <w:rsid w:val="00766397"/>
    <w:rsid w:val="007663F3"/>
    <w:rsid w:val="007666DD"/>
    <w:rsid w:val="00766BDE"/>
    <w:rsid w:val="00767221"/>
    <w:rsid w:val="007672A8"/>
    <w:rsid w:val="00771415"/>
    <w:rsid w:val="007718FE"/>
    <w:rsid w:val="007733F7"/>
    <w:rsid w:val="00773DEA"/>
    <w:rsid w:val="007748B0"/>
    <w:rsid w:val="007748F6"/>
    <w:rsid w:val="00774A0E"/>
    <w:rsid w:val="00775643"/>
    <w:rsid w:val="00775963"/>
    <w:rsid w:val="00775BE5"/>
    <w:rsid w:val="0077662D"/>
    <w:rsid w:val="007769B8"/>
    <w:rsid w:val="00777278"/>
    <w:rsid w:val="00777979"/>
    <w:rsid w:val="007779D9"/>
    <w:rsid w:val="00777A1D"/>
    <w:rsid w:val="007807B0"/>
    <w:rsid w:val="0078091F"/>
    <w:rsid w:val="00780CBB"/>
    <w:rsid w:val="00781AF5"/>
    <w:rsid w:val="00781FF2"/>
    <w:rsid w:val="00782338"/>
    <w:rsid w:val="00782576"/>
    <w:rsid w:val="00783309"/>
    <w:rsid w:val="00783612"/>
    <w:rsid w:val="0078400F"/>
    <w:rsid w:val="00784186"/>
    <w:rsid w:val="00784A6F"/>
    <w:rsid w:val="00784E6D"/>
    <w:rsid w:val="00785AFB"/>
    <w:rsid w:val="00785FCC"/>
    <w:rsid w:val="00786DB5"/>
    <w:rsid w:val="007874D7"/>
    <w:rsid w:val="007906F6"/>
    <w:rsid w:val="00790ED5"/>
    <w:rsid w:val="00791165"/>
    <w:rsid w:val="007914B6"/>
    <w:rsid w:val="00791ADE"/>
    <w:rsid w:val="00791F19"/>
    <w:rsid w:val="0079341D"/>
    <w:rsid w:val="007948A6"/>
    <w:rsid w:val="00797358"/>
    <w:rsid w:val="00797DFB"/>
    <w:rsid w:val="007A08E5"/>
    <w:rsid w:val="007A19C2"/>
    <w:rsid w:val="007A2BE0"/>
    <w:rsid w:val="007A2E2E"/>
    <w:rsid w:val="007A341C"/>
    <w:rsid w:val="007A3A2B"/>
    <w:rsid w:val="007A431C"/>
    <w:rsid w:val="007A4E1D"/>
    <w:rsid w:val="007A4FE3"/>
    <w:rsid w:val="007A5D47"/>
    <w:rsid w:val="007A7037"/>
    <w:rsid w:val="007A79AD"/>
    <w:rsid w:val="007B11EB"/>
    <w:rsid w:val="007B1975"/>
    <w:rsid w:val="007B1E64"/>
    <w:rsid w:val="007B227E"/>
    <w:rsid w:val="007B3C0C"/>
    <w:rsid w:val="007B4479"/>
    <w:rsid w:val="007B4746"/>
    <w:rsid w:val="007B476E"/>
    <w:rsid w:val="007B4D53"/>
    <w:rsid w:val="007B6C10"/>
    <w:rsid w:val="007B7DEA"/>
    <w:rsid w:val="007B7EA1"/>
    <w:rsid w:val="007C0754"/>
    <w:rsid w:val="007C0CB0"/>
    <w:rsid w:val="007C1696"/>
    <w:rsid w:val="007C28FE"/>
    <w:rsid w:val="007C3510"/>
    <w:rsid w:val="007C3E1B"/>
    <w:rsid w:val="007C4504"/>
    <w:rsid w:val="007C4932"/>
    <w:rsid w:val="007C5287"/>
    <w:rsid w:val="007C6165"/>
    <w:rsid w:val="007C63E4"/>
    <w:rsid w:val="007C71F6"/>
    <w:rsid w:val="007C7429"/>
    <w:rsid w:val="007C7C24"/>
    <w:rsid w:val="007D02ED"/>
    <w:rsid w:val="007D08BE"/>
    <w:rsid w:val="007D18C4"/>
    <w:rsid w:val="007D2086"/>
    <w:rsid w:val="007D20FD"/>
    <w:rsid w:val="007D2581"/>
    <w:rsid w:val="007D266B"/>
    <w:rsid w:val="007D2B93"/>
    <w:rsid w:val="007D2C5C"/>
    <w:rsid w:val="007D3C26"/>
    <w:rsid w:val="007D63F1"/>
    <w:rsid w:val="007D6431"/>
    <w:rsid w:val="007D65DF"/>
    <w:rsid w:val="007D6C04"/>
    <w:rsid w:val="007D7ADD"/>
    <w:rsid w:val="007D7EC7"/>
    <w:rsid w:val="007E14EE"/>
    <w:rsid w:val="007E1736"/>
    <w:rsid w:val="007E19D9"/>
    <w:rsid w:val="007E2A12"/>
    <w:rsid w:val="007E346E"/>
    <w:rsid w:val="007E3845"/>
    <w:rsid w:val="007E4088"/>
    <w:rsid w:val="007E4189"/>
    <w:rsid w:val="007E4815"/>
    <w:rsid w:val="007E49C0"/>
    <w:rsid w:val="007E575C"/>
    <w:rsid w:val="007E5FA8"/>
    <w:rsid w:val="007E6668"/>
    <w:rsid w:val="007E66E6"/>
    <w:rsid w:val="007E685A"/>
    <w:rsid w:val="007E6B1C"/>
    <w:rsid w:val="007F0656"/>
    <w:rsid w:val="007F09B9"/>
    <w:rsid w:val="007F0C74"/>
    <w:rsid w:val="007F16FE"/>
    <w:rsid w:val="007F193C"/>
    <w:rsid w:val="007F1D6B"/>
    <w:rsid w:val="007F3C69"/>
    <w:rsid w:val="007F4A44"/>
    <w:rsid w:val="007F4F44"/>
    <w:rsid w:val="007F59E5"/>
    <w:rsid w:val="007F6624"/>
    <w:rsid w:val="007F6E0B"/>
    <w:rsid w:val="007F7382"/>
    <w:rsid w:val="00800C5F"/>
    <w:rsid w:val="00800DFE"/>
    <w:rsid w:val="00800EE3"/>
    <w:rsid w:val="0080281B"/>
    <w:rsid w:val="00803570"/>
    <w:rsid w:val="00803EEC"/>
    <w:rsid w:val="00803F69"/>
    <w:rsid w:val="008042C6"/>
    <w:rsid w:val="00804A22"/>
    <w:rsid w:val="00804F91"/>
    <w:rsid w:val="008050E5"/>
    <w:rsid w:val="00805338"/>
    <w:rsid w:val="0080563D"/>
    <w:rsid w:val="0080623A"/>
    <w:rsid w:val="0080693C"/>
    <w:rsid w:val="00806D06"/>
    <w:rsid w:val="00810264"/>
    <w:rsid w:val="008107E8"/>
    <w:rsid w:val="00812382"/>
    <w:rsid w:val="00812C7B"/>
    <w:rsid w:val="00812FFC"/>
    <w:rsid w:val="00813B7A"/>
    <w:rsid w:val="00813EEE"/>
    <w:rsid w:val="0081442E"/>
    <w:rsid w:val="008150B5"/>
    <w:rsid w:val="00815330"/>
    <w:rsid w:val="00816C73"/>
    <w:rsid w:val="00817430"/>
    <w:rsid w:val="008204C0"/>
    <w:rsid w:val="008210BA"/>
    <w:rsid w:val="00821E1F"/>
    <w:rsid w:val="008221E9"/>
    <w:rsid w:val="00822984"/>
    <w:rsid w:val="00822ED5"/>
    <w:rsid w:val="0082388D"/>
    <w:rsid w:val="00823AFD"/>
    <w:rsid w:val="00823BEF"/>
    <w:rsid w:val="00824843"/>
    <w:rsid w:val="00824C84"/>
    <w:rsid w:val="00826782"/>
    <w:rsid w:val="00826C0F"/>
    <w:rsid w:val="00826D07"/>
    <w:rsid w:val="00827661"/>
    <w:rsid w:val="00827E93"/>
    <w:rsid w:val="00830BDD"/>
    <w:rsid w:val="00831916"/>
    <w:rsid w:val="00831F72"/>
    <w:rsid w:val="008320F9"/>
    <w:rsid w:val="00832490"/>
    <w:rsid w:val="0083270A"/>
    <w:rsid w:val="008340F1"/>
    <w:rsid w:val="00835D45"/>
    <w:rsid w:val="00836682"/>
    <w:rsid w:val="00837C68"/>
    <w:rsid w:val="008400B7"/>
    <w:rsid w:val="0084051E"/>
    <w:rsid w:val="00841221"/>
    <w:rsid w:val="00841875"/>
    <w:rsid w:val="00842926"/>
    <w:rsid w:val="0084332A"/>
    <w:rsid w:val="008434C2"/>
    <w:rsid w:val="00843977"/>
    <w:rsid w:val="0084482B"/>
    <w:rsid w:val="00844BA8"/>
    <w:rsid w:val="00845E45"/>
    <w:rsid w:val="0084618D"/>
    <w:rsid w:val="008463C1"/>
    <w:rsid w:val="00846D5E"/>
    <w:rsid w:val="00846FF0"/>
    <w:rsid w:val="008504B5"/>
    <w:rsid w:val="00850F49"/>
    <w:rsid w:val="008518D5"/>
    <w:rsid w:val="00851958"/>
    <w:rsid w:val="00851E32"/>
    <w:rsid w:val="00851EC3"/>
    <w:rsid w:val="00852243"/>
    <w:rsid w:val="00852DD8"/>
    <w:rsid w:val="00852F1C"/>
    <w:rsid w:val="00853A46"/>
    <w:rsid w:val="00854348"/>
    <w:rsid w:val="0085517F"/>
    <w:rsid w:val="008560FA"/>
    <w:rsid w:val="00856C3F"/>
    <w:rsid w:val="00857A50"/>
    <w:rsid w:val="00860034"/>
    <w:rsid w:val="00860B54"/>
    <w:rsid w:val="00861BA4"/>
    <w:rsid w:val="00861E97"/>
    <w:rsid w:val="0086205F"/>
    <w:rsid w:val="00862D65"/>
    <w:rsid w:val="00862DED"/>
    <w:rsid w:val="00863D8C"/>
    <w:rsid w:val="00863F51"/>
    <w:rsid w:val="0086411E"/>
    <w:rsid w:val="008645E2"/>
    <w:rsid w:val="008648AC"/>
    <w:rsid w:val="00866711"/>
    <w:rsid w:val="00867E8F"/>
    <w:rsid w:val="00867F95"/>
    <w:rsid w:val="00867FE6"/>
    <w:rsid w:val="008708F0"/>
    <w:rsid w:val="00870B91"/>
    <w:rsid w:val="008711D7"/>
    <w:rsid w:val="0087183D"/>
    <w:rsid w:val="00872472"/>
    <w:rsid w:val="00872696"/>
    <w:rsid w:val="00873819"/>
    <w:rsid w:val="00874401"/>
    <w:rsid w:val="00874720"/>
    <w:rsid w:val="00874DAE"/>
    <w:rsid w:val="00875E0B"/>
    <w:rsid w:val="00876826"/>
    <w:rsid w:val="00876B18"/>
    <w:rsid w:val="00877166"/>
    <w:rsid w:val="008776FE"/>
    <w:rsid w:val="00877730"/>
    <w:rsid w:val="008779DA"/>
    <w:rsid w:val="0088045E"/>
    <w:rsid w:val="00880E03"/>
    <w:rsid w:val="00881397"/>
    <w:rsid w:val="008813B0"/>
    <w:rsid w:val="0088185D"/>
    <w:rsid w:val="008822B5"/>
    <w:rsid w:val="00882338"/>
    <w:rsid w:val="008823D4"/>
    <w:rsid w:val="00882D66"/>
    <w:rsid w:val="00882E41"/>
    <w:rsid w:val="00882E8C"/>
    <w:rsid w:val="00884C44"/>
    <w:rsid w:val="00886190"/>
    <w:rsid w:val="008861FF"/>
    <w:rsid w:val="00886817"/>
    <w:rsid w:val="00887CA7"/>
    <w:rsid w:val="00890064"/>
    <w:rsid w:val="00890443"/>
    <w:rsid w:val="00891C45"/>
    <w:rsid w:val="008924F6"/>
    <w:rsid w:val="00892640"/>
    <w:rsid w:val="008931F7"/>
    <w:rsid w:val="008950EC"/>
    <w:rsid w:val="00895D80"/>
    <w:rsid w:val="0089608E"/>
    <w:rsid w:val="00896F25"/>
    <w:rsid w:val="00896F2D"/>
    <w:rsid w:val="00897F98"/>
    <w:rsid w:val="008A2C81"/>
    <w:rsid w:val="008A35E0"/>
    <w:rsid w:val="008A382A"/>
    <w:rsid w:val="008A3FD8"/>
    <w:rsid w:val="008A44A6"/>
    <w:rsid w:val="008A4936"/>
    <w:rsid w:val="008A6042"/>
    <w:rsid w:val="008A641E"/>
    <w:rsid w:val="008A6474"/>
    <w:rsid w:val="008A6C47"/>
    <w:rsid w:val="008A6CE8"/>
    <w:rsid w:val="008A6E35"/>
    <w:rsid w:val="008B0F0F"/>
    <w:rsid w:val="008B1561"/>
    <w:rsid w:val="008B3334"/>
    <w:rsid w:val="008B3466"/>
    <w:rsid w:val="008B3AE8"/>
    <w:rsid w:val="008B5162"/>
    <w:rsid w:val="008B5699"/>
    <w:rsid w:val="008B65C0"/>
    <w:rsid w:val="008B6FAB"/>
    <w:rsid w:val="008B7950"/>
    <w:rsid w:val="008B7A34"/>
    <w:rsid w:val="008C0FFC"/>
    <w:rsid w:val="008C1608"/>
    <w:rsid w:val="008C17DF"/>
    <w:rsid w:val="008C1C15"/>
    <w:rsid w:val="008C2272"/>
    <w:rsid w:val="008C3484"/>
    <w:rsid w:val="008C3CE1"/>
    <w:rsid w:val="008C3E3D"/>
    <w:rsid w:val="008C4A49"/>
    <w:rsid w:val="008C520C"/>
    <w:rsid w:val="008C601E"/>
    <w:rsid w:val="008C78A7"/>
    <w:rsid w:val="008D2CBA"/>
    <w:rsid w:val="008D2EB2"/>
    <w:rsid w:val="008D331C"/>
    <w:rsid w:val="008D3934"/>
    <w:rsid w:val="008D3C87"/>
    <w:rsid w:val="008D47ED"/>
    <w:rsid w:val="008D4F5A"/>
    <w:rsid w:val="008D5CCA"/>
    <w:rsid w:val="008D77C2"/>
    <w:rsid w:val="008E00F2"/>
    <w:rsid w:val="008E0DB3"/>
    <w:rsid w:val="008E13E4"/>
    <w:rsid w:val="008E18E2"/>
    <w:rsid w:val="008E1C95"/>
    <w:rsid w:val="008E21AD"/>
    <w:rsid w:val="008E257C"/>
    <w:rsid w:val="008E303F"/>
    <w:rsid w:val="008E3BFE"/>
    <w:rsid w:val="008E3F5F"/>
    <w:rsid w:val="008E4CF2"/>
    <w:rsid w:val="008E4D59"/>
    <w:rsid w:val="008E52ED"/>
    <w:rsid w:val="008E5895"/>
    <w:rsid w:val="008E5EE6"/>
    <w:rsid w:val="008E7029"/>
    <w:rsid w:val="008E77A9"/>
    <w:rsid w:val="008F0C24"/>
    <w:rsid w:val="008F17A8"/>
    <w:rsid w:val="008F2725"/>
    <w:rsid w:val="008F37A2"/>
    <w:rsid w:val="008F480D"/>
    <w:rsid w:val="008F4945"/>
    <w:rsid w:val="008F4A9C"/>
    <w:rsid w:val="008F4B82"/>
    <w:rsid w:val="008F551B"/>
    <w:rsid w:val="008F6712"/>
    <w:rsid w:val="008F6B7A"/>
    <w:rsid w:val="008F6E6B"/>
    <w:rsid w:val="008F7768"/>
    <w:rsid w:val="008F7A60"/>
    <w:rsid w:val="00900AB8"/>
    <w:rsid w:val="00900DAE"/>
    <w:rsid w:val="00901A5D"/>
    <w:rsid w:val="00901B0B"/>
    <w:rsid w:val="00903897"/>
    <w:rsid w:val="009042B8"/>
    <w:rsid w:val="0090438F"/>
    <w:rsid w:val="00904691"/>
    <w:rsid w:val="00904E21"/>
    <w:rsid w:val="00904E96"/>
    <w:rsid w:val="00904FBF"/>
    <w:rsid w:val="00905716"/>
    <w:rsid w:val="00905B3A"/>
    <w:rsid w:val="00906572"/>
    <w:rsid w:val="00906DD3"/>
    <w:rsid w:val="0090740C"/>
    <w:rsid w:val="00907EE3"/>
    <w:rsid w:val="00911B15"/>
    <w:rsid w:val="00912225"/>
    <w:rsid w:val="00912472"/>
    <w:rsid w:val="00912CB4"/>
    <w:rsid w:val="00912CBA"/>
    <w:rsid w:val="00912E21"/>
    <w:rsid w:val="009136B2"/>
    <w:rsid w:val="00913784"/>
    <w:rsid w:val="00913EFB"/>
    <w:rsid w:val="00914C04"/>
    <w:rsid w:val="009152D0"/>
    <w:rsid w:val="00915785"/>
    <w:rsid w:val="00920AD0"/>
    <w:rsid w:val="00920B5F"/>
    <w:rsid w:val="009216B4"/>
    <w:rsid w:val="00922B8F"/>
    <w:rsid w:val="009234C5"/>
    <w:rsid w:val="009236E7"/>
    <w:rsid w:val="00925ED8"/>
    <w:rsid w:val="009263EC"/>
    <w:rsid w:val="0092742B"/>
    <w:rsid w:val="0093089B"/>
    <w:rsid w:val="00930AC9"/>
    <w:rsid w:val="00930DD3"/>
    <w:rsid w:val="0093135F"/>
    <w:rsid w:val="00932802"/>
    <w:rsid w:val="009337B4"/>
    <w:rsid w:val="00934562"/>
    <w:rsid w:val="00935053"/>
    <w:rsid w:val="00935583"/>
    <w:rsid w:val="0093578E"/>
    <w:rsid w:val="00935886"/>
    <w:rsid w:val="009362FA"/>
    <w:rsid w:val="0093653F"/>
    <w:rsid w:val="009375DF"/>
    <w:rsid w:val="00940B7D"/>
    <w:rsid w:val="00941398"/>
    <w:rsid w:val="00941571"/>
    <w:rsid w:val="00941896"/>
    <w:rsid w:val="00941997"/>
    <w:rsid w:val="00941BB5"/>
    <w:rsid w:val="00941C46"/>
    <w:rsid w:val="00941DA3"/>
    <w:rsid w:val="00941E37"/>
    <w:rsid w:val="00942E46"/>
    <w:rsid w:val="00943A51"/>
    <w:rsid w:val="00943F5D"/>
    <w:rsid w:val="00944225"/>
    <w:rsid w:val="00944EE8"/>
    <w:rsid w:val="0094633D"/>
    <w:rsid w:val="009471D3"/>
    <w:rsid w:val="009478A5"/>
    <w:rsid w:val="00947BBA"/>
    <w:rsid w:val="00947F32"/>
    <w:rsid w:val="0095067D"/>
    <w:rsid w:val="00950A18"/>
    <w:rsid w:val="00951C96"/>
    <w:rsid w:val="00951DB8"/>
    <w:rsid w:val="00951E29"/>
    <w:rsid w:val="00954535"/>
    <w:rsid w:val="009545CA"/>
    <w:rsid w:val="009564C2"/>
    <w:rsid w:val="00957BE8"/>
    <w:rsid w:val="00957F3A"/>
    <w:rsid w:val="009600C0"/>
    <w:rsid w:val="00961CFD"/>
    <w:rsid w:val="00961E83"/>
    <w:rsid w:val="009639DC"/>
    <w:rsid w:val="00963EDC"/>
    <w:rsid w:val="00963F8A"/>
    <w:rsid w:val="00964795"/>
    <w:rsid w:val="009649A6"/>
    <w:rsid w:val="009651EC"/>
    <w:rsid w:val="00965E2D"/>
    <w:rsid w:val="0096776B"/>
    <w:rsid w:val="00967A2E"/>
    <w:rsid w:val="00967BDD"/>
    <w:rsid w:val="00971568"/>
    <w:rsid w:val="00971AA2"/>
    <w:rsid w:val="00971F2B"/>
    <w:rsid w:val="00972AC6"/>
    <w:rsid w:val="00975E46"/>
    <w:rsid w:val="0097672B"/>
    <w:rsid w:val="00980CB6"/>
    <w:rsid w:val="0098124F"/>
    <w:rsid w:val="00981E62"/>
    <w:rsid w:val="00982E92"/>
    <w:rsid w:val="00984D29"/>
    <w:rsid w:val="00984DE4"/>
    <w:rsid w:val="0098500C"/>
    <w:rsid w:val="00985147"/>
    <w:rsid w:val="00985F9A"/>
    <w:rsid w:val="00986085"/>
    <w:rsid w:val="00986401"/>
    <w:rsid w:val="00986F5F"/>
    <w:rsid w:val="00987B9B"/>
    <w:rsid w:val="009916BD"/>
    <w:rsid w:val="0099304F"/>
    <w:rsid w:val="0099316F"/>
    <w:rsid w:val="009933F3"/>
    <w:rsid w:val="0099349B"/>
    <w:rsid w:val="0099381F"/>
    <w:rsid w:val="00993BFC"/>
    <w:rsid w:val="00994059"/>
    <w:rsid w:val="00994952"/>
    <w:rsid w:val="00994DF9"/>
    <w:rsid w:val="00994EFB"/>
    <w:rsid w:val="009951ED"/>
    <w:rsid w:val="00996472"/>
    <w:rsid w:val="0099757F"/>
    <w:rsid w:val="009A10E6"/>
    <w:rsid w:val="009A14E2"/>
    <w:rsid w:val="009A2189"/>
    <w:rsid w:val="009A2C3C"/>
    <w:rsid w:val="009A309E"/>
    <w:rsid w:val="009A32AE"/>
    <w:rsid w:val="009A440C"/>
    <w:rsid w:val="009A4D23"/>
    <w:rsid w:val="009A4EFB"/>
    <w:rsid w:val="009A50DD"/>
    <w:rsid w:val="009A60F5"/>
    <w:rsid w:val="009A65F2"/>
    <w:rsid w:val="009A6BAB"/>
    <w:rsid w:val="009A6CAD"/>
    <w:rsid w:val="009A7054"/>
    <w:rsid w:val="009A7449"/>
    <w:rsid w:val="009A760F"/>
    <w:rsid w:val="009A7800"/>
    <w:rsid w:val="009A7F02"/>
    <w:rsid w:val="009B0A97"/>
    <w:rsid w:val="009B229F"/>
    <w:rsid w:val="009B31F3"/>
    <w:rsid w:val="009B34BF"/>
    <w:rsid w:val="009B505C"/>
    <w:rsid w:val="009B5286"/>
    <w:rsid w:val="009B5F7A"/>
    <w:rsid w:val="009B60C2"/>
    <w:rsid w:val="009B62D7"/>
    <w:rsid w:val="009B63EA"/>
    <w:rsid w:val="009B650E"/>
    <w:rsid w:val="009B655E"/>
    <w:rsid w:val="009B657C"/>
    <w:rsid w:val="009B6CBF"/>
    <w:rsid w:val="009B704E"/>
    <w:rsid w:val="009C05C7"/>
    <w:rsid w:val="009C2079"/>
    <w:rsid w:val="009C23C9"/>
    <w:rsid w:val="009C2823"/>
    <w:rsid w:val="009C3382"/>
    <w:rsid w:val="009C3450"/>
    <w:rsid w:val="009C3879"/>
    <w:rsid w:val="009C45C3"/>
    <w:rsid w:val="009C49E2"/>
    <w:rsid w:val="009C4A9F"/>
    <w:rsid w:val="009C4C3A"/>
    <w:rsid w:val="009C4CBE"/>
    <w:rsid w:val="009C602D"/>
    <w:rsid w:val="009D0284"/>
    <w:rsid w:val="009D191D"/>
    <w:rsid w:val="009D20A1"/>
    <w:rsid w:val="009D2703"/>
    <w:rsid w:val="009D3339"/>
    <w:rsid w:val="009D450E"/>
    <w:rsid w:val="009D4EDA"/>
    <w:rsid w:val="009D5072"/>
    <w:rsid w:val="009D509D"/>
    <w:rsid w:val="009D5547"/>
    <w:rsid w:val="009D5830"/>
    <w:rsid w:val="009D58DD"/>
    <w:rsid w:val="009D6CB1"/>
    <w:rsid w:val="009D7243"/>
    <w:rsid w:val="009E0511"/>
    <w:rsid w:val="009E0970"/>
    <w:rsid w:val="009E0E36"/>
    <w:rsid w:val="009E1AC5"/>
    <w:rsid w:val="009E1BC0"/>
    <w:rsid w:val="009E299D"/>
    <w:rsid w:val="009E461B"/>
    <w:rsid w:val="009E464E"/>
    <w:rsid w:val="009E4CF4"/>
    <w:rsid w:val="009E4F06"/>
    <w:rsid w:val="009E524C"/>
    <w:rsid w:val="009E653E"/>
    <w:rsid w:val="009E75EC"/>
    <w:rsid w:val="009E7FE3"/>
    <w:rsid w:val="009F0697"/>
    <w:rsid w:val="009F1155"/>
    <w:rsid w:val="009F11F6"/>
    <w:rsid w:val="009F1B7E"/>
    <w:rsid w:val="009F389F"/>
    <w:rsid w:val="009F42C9"/>
    <w:rsid w:val="009F46E0"/>
    <w:rsid w:val="009F49A0"/>
    <w:rsid w:val="009F4F32"/>
    <w:rsid w:val="009F582A"/>
    <w:rsid w:val="009F6071"/>
    <w:rsid w:val="009F638D"/>
    <w:rsid w:val="009F6441"/>
    <w:rsid w:val="009F6707"/>
    <w:rsid w:val="009F6EBA"/>
    <w:rsid w:val="009F7551"/>
    <w:rsid w:val="009F7974"/>
    <w:rsid w:val="009F7EBF"/>
    <w:rsid w:val="00A00131"/>
    <w:rsid w:val="00A00197"/>
    <w:rsid w:val="00A008BF"/>
    <w:rsid w:val="00A01158"/>
    <w:rsid w:val="00A0170B"/>
    <w:rsid w:val="00A024C3"/>
    <w:rsid w:val="00A0271D"/>
    <w:rsid w:val="00A03327"/>
    <w:rsid w:val="00A04209"/>
    <w:rsid w:val="00A0519A"/>
    <w:rsid w:val="00A05638"/>
    <w:rsid w:val="00A05B7F"/>
    <w:rsid w:val="00A05FC1"/>
    <w:rsid w:val="00A078F9"/>
    <w:rsid w:val="00A1040D"/>
    <w:rsid w:val="00A10DA2"/>
    <w:rsid w:val="00A11D85"/>
    <w:rsid w:val="00A127D6"/>
    <w:rsid w:val="00A15CD0"/>
    <w:rsid w:val="00A2089A"/>
    <w:rsid w:val="00A2158C"/>
    <w:rsid w:val="00A23D2C"/>
    <w:rsid w:val="00A25085"/>
    <w:rsid w:val="00A25217"/>
    <w:rsid w:val="00A26949"/>
    <w:rsid w:val="00A269FD"/>
    <w:rsid w:val="00A2766A"/>
    <w:rsid w:val="00A308BC"/>
    <w:rsid w:val="00A30A47"/>
    <w:rsid w:val="00A317A9"/>
    <w:rsid w:val="00A31BE0"/>
    <w:rsid w:val="00A324D7"/>
    <w:rsid w:val="00A325D7"/>
    <w:rsid w:val="00A33D53"/>
    <w:rsid w:val="00A340C1"/>
    <w:rsid w:val="00A36A52"/>
    <w:rsid w:val="00A40C08"/>
    <w:rsid w:val="00A40C2E"/>
    <w:rsid w:val="00A40EB5"/>
    <w:rsid w:val="00A424F4"/>
    <w:rsid w:val="00A42808"/>
    <w:rsid w:val="00A42A2D"/>
    <w:rsid w:val="00A42D6E"/>
    <w:rsid w:val="00A43A83"/>
    <w:rsid w:val="00A43AC9"/>
    <w:rsid w:val="00A45720"/>
    <w:rsid w:val="00A4615F"/>
    <w:rsid w:val="00A4657D"/>
    <w:rsid w:val="00A47428"/>
    <w:rsid w:val="00A47A2C"/>
    <w:rsid w:val="00A47EBA"/>
    <w:rsid w:val="00A50382"/>
    <w:rsid w:val="00A50B25"/>
    <w:rsid w:val="00A50E3A"/>
    <w:rsid w:val="00A515F4"/>
    <w:rsid w:val="00A51B19"/>
    <w:rsid w:val="00A523B2"/>
    <w:rsid w:val="00A52972"/>
    <w:rsid w:val="00A53A37"/>
    <w:rsid w:val="00A5494C"/>
    <w:rsid w:val="00A54983"/>
    <w:rsid w:val="00A54AC5"/>
    <w:rsid w:val="00A55ADD"/>
    <w:rsid w:val="00A55EC1"/>
    <w:rsid w:val="00A562D9"/>
    <w:rsid w:val="00A566FF"/>
    <w:rsid w:val="00A567FB"/>
    <w:rsid w:val="00A56BFF"/>
    <w:rsid w:val="00A57248"/>
    <w:rsid w:val="00A574D6"/>
    <w:rsid w:val="00A5775E"/>
    <w:rsid w:val="00A57A82"/>
    <w:rsid w:val="00A608D5"/>
    <w:rsid w:val="00A60BC4"/>
    <w:rsid w:val="00A61187"/>
    <w:rsid w:val="00A611E8"/>
    <w:rsid w:val="00A615CD"/>
    <w:rsid w:val="00A61970"/>
    <w:rsid w:val="00A61BEE"/>
    <w:rsid w:val="00A62E4C"/>
    <w:rsid w:val="00A63C91"/>
    <w:rsid w:val="00A644E4"/>
    <w:rsid w:val="00A64552"/>
    <w:rsid w:val="00A65A0A"/>
    <w:rsid w:val="00A65C60"/>
    <w:rsid w:val="00A66568"/>
    <w:rsid w:val="00A6741E"/>
    <w:rsid w:val="00A679D7"/>
    <w:rsid w:val="00A7052D"/>
    <w:rsid w:val="00A7080D"/>
    <w:rsid w:val="00A7084C"/>
    <w:rsid w:val="00A71741"/>
    <w:rsid w:val="00A71DBE"/>
    <w:rsid w:val="00A7283A"/>
    <w:rsid w:val="00A73C8D"/>
    <w:rsid w:val="00A73D73"/>
    <w:rsid w:val="00A73F93"/>
    <w:rsid w:val="00A74E88"/>
    <w:rsid w:val="00A75D20"/>
    <w:rsid w:val="00A76F83"/>
    <w:rsid w:val="00A8018E"/>
    <w:rsid w:val="00A805DE"/>
    <w:rsid w:val="00A80893"/>
    <w:rsid w:val="00A80B8B"/>
    <w:rsid w:val="00A81568"/>
    <w:rsid w:val="00A81D92"/>
    <w:rsid w:val="00A821DA"/>
    <w:rsid w:val="00A82DCC"/>
    <w:rsid w:val="00A83E55"/>
    <w:rsid w:val="00A854C2"/>
    <w:rsid w:val="00A85A11"/>
    <w:rsid w:val="00A871EA"/>
    <w:rsid w:val="00A875F1"/>
    <w:rsid w:val="00A87989"/>
    <w:rsid w:val="00A87A13"/>
    <w:rsid w:val="00A9053E"/>
    <w:rsid w:val="00A907AA"/>
    <w:rsid w:val="00A91975"/>
    <w:rsid w:val="00A91FF5"/>
    <w:rsid w:val="00A937A7"/>
    <w:rsid w:val="00A93955"/>
    <w:rsid w:val="00A94267"/>
    <w:rsid w:val="00A95D0B"/>
    <w:rsid w:val="00AA0227"/>
    <w:rsid w:val="00AA1178"/>
    <w:rsid w:val="00AA348A"/>
    <w:rsid w:val="00AA3947"/>
    <w:rsid w:val="00AA3C6C"/>
    <w:rsid w:val="00AA4D6C"/>
    <w:rsid w:val="00AA4E1D"/>
    <w:rsid w:val="00AA50FB"/>
    <w:rsid w:val="00AA5CAA"/>
    <w:rsid w:val="00AA669B"/>
    <w:rsid w:val="00AA6BAC"/>
    <w:rsid w:val="00AA702F"/>
    <w:rsid w:val="00AA79D4"/>
    <w:rsid w:val="00AA7C11"/>
    <w:rsid w:val="00AB0377"/>
    <w:rsid w:val="00AB0925"/>
    <w:rsid w:val="00AB131C"/>
    <w:rsid w:val="00AB191B"/>
    <w:rsid w:val="00AB1D8B"/>
    <w:rsid w:val="00AB24F5"/>
    <w:rsid w:val="00AB2FC5"/>
    <w:rsid w:val="00AB33B9"/>
    <w:rsid w:val="00AB3F0E"/>
    <w:rsid w:val="00AB3FBE"/>
    <w:rsid w:val="00AB4746"/>
    <w:rsid w:val="00AB5B1C"/>
    <w:rsid w:val="00AB60AC"/>
    <w:rsid w:val="00AB6405"/>
    <w:rsid w:val="00AB7114"/>
    <w:rsid w:val="00AB7601"/>
    <w:rsid w:val="00AB7BC4"/>
    <w:rsid w:val="00AC08C3"/>
    <w:rsid w:val="00AC1B0F"/>
    <w:rsid w:val="00AC21D3"/>
    <w:rsid w:val="00AC2AB1"/>
    <w:rsid w:val="00AC4398"/>
    <w:rsid w:val="00AC4949"/>
    <w:rsid w:val="00AC496A"/>
    <w:rsid w:val="00AC4BBE"/>
    <w:rsid w:val="00AC4D65"/>
    <w:rsid w:val="00AC5014"/>
    <w:rsid w:val="00AC5B6E"/>
    <w:rsid w:val="00AC5B7E"/>
    <w:rsid w:val="00AC5D22"/>
    <w:rsid w:val="00AC6A08"/>
    <w:rsid w:val="00AC6DB4"/>
    <w:rsid w:val="00AC7304"/>
    <w:rsid w:val="00AC7E4B"/>
    <w:rsid w:val="00AD01AD"/>
    <w:rsid w:val="00AD0501"/>
    <w:rsid w:val="00AD127D"/>
    <w:rsid w:val="00AD2603"/>
    <w:rsid w:val="00AD36EB"/>
    <w:rsid w:val="00AD37D6"/>
    <w:rsid w:val="00AD5280"/>
    <w:rsid w:val="00AD6E99"/>
    <w:rsid w:val="00AE00DA"/>
    <w:rsid w:val="00AE0D82"/>
    <w:rsid w:val="00AE0F90"/>
    <w:rsid w:val="00AE1283"/>
    <w:rsid w:val="00AE1665"/>
    <w:rsid w:val="00AE1CAA"/>
    <w:rsid w:val="00AE1DE3"/>
    <w:rsid w:val="00AE3EAB"/>
    <w:rsid w:val="00AE4EE5"/>
    <w:rsid w:val="00AE686C"/>
    <w:rsid w:val="00AE6B02"/>
    <w:rsid w:val="00AE779F"/>
    <w:rsid w:val="00AF05BD"/>
    <w:rsid w:val="00AF0CAA"/>
    <w:rsid w:val="00AF1D94"/>
    <w:rsid w:val="00AF26F1"/>
    <w:rsid w:val="00AF27E9"/>
    <w:rsid w:val="00AF2806"/>
    <w:rsid w:val="00AF36B3"/>
    <w:rsid w:val="00AF37DA"/>
    <w:rsid w:val="00AF5F10"/>
    <w:rsid w:val="00AF60B3"/>
    <w:rsid w:val="00AF61BF"/>
    <w:rsid w:val="00AF6C88"/>
    <w:rsid w:val="00AF6EAE"/>
    <w:rsid w:val="00AF76B5"/>
    <w:rsid w:val="00AF7F5D"/>
    <w:rsid w:val="00B0109F"/>
    <w:rsid w:val="00B0179E"/>
    <w:rsid w:val="00B0190D"/>
    <w:rsid w:val="00B01982"/>
    <w:rsid w:val="00B0222E"/>
    <w:rsid w:val="00B022C6"/>
    <w:rsid w:val="00B04586"/>
    <w:rsid w:val="00B05051"/>
    <w:rsid w:val="00B051AE"/>
    <w:rsid w:val="00B06247"/>
    <w:rsid w:val="00B0624D"/>
    <w:rsid w:val="00B0765A"/>
    <w:rsid w:val="00B07709"/>
    <w:rsid w:val="00B078B1"/>
    <w:rsid w:val="00B07981"/>
    <w:rsid w:val="00B07A43"/>
    <w:rsid w:val="00B100B5"/>
    <w:rsid w:val="00B10160"/>
    <w:rsid w:val="00B10683"/>
    <w:rsid w:val="00B10B1B"/>
    <w:rsid w:val="00B112ED"/>
    <w:rsid w:val="00B122A0"/>
    <w:rsid w:val="00B15F41"/>
    <w:rsid w:val="00B16116"/>
    <w:rsid w:val="00B16649"/>
    <w:rsid w:val="00B17041"/>
    <w:rsid w:val="00B17498"/>
    <w:rsid w:val="00B21D78"/>
    <w:rsid w:val="00B21ECC"/>
    <w:rsid w:val="00B22BD5"/>
    <w:rsid w:val="00B240A0"/>
    <w:rsid w:val="00B2467D"/>
    <w:rsid w:val="00B24E70"/>
    <w:rsid w:val="00B25680"/>
    <w:rsid w:val="00B2608A"/>
    <w:rsid w:val="00B26CF2"/>
    <w:rsid w:val="00B3028A"/>
    <w:rsid w:val="00B30547"/>
    <w:rsid w:val="00B307C1"/>
    <w:rsid w:val="00B307CD"/>
    <w:rsid w:val="00B32200"/>
    <w:rsid w:val="00B33DB0"/>
    <w:rsid w:val="00B33E14"/>
    <w:rsid w:val="00B36B0E"/>
    <w:rsid w:val="00B3770C"/>
    <w:rsid w:val="00B3778C"/>
    <w:rsid w:val="00B37B80"/>
    <w:rsid w:val="00B37F14"/>
    <w:rsid w:val="00B4095B"/>
    <w:rsid w:val="00B413BA"/>
    <w:rsid w:val="00B417DF"/>
    <w:rsid w:val="00B417FE"/>
    <w:rsid w:val="00B43402"/>
    <w:rsid w:val="00B43AF1"/>
    <w:rsid w:val="00B43DCF"/>
    <w:rsid w:val="00B4401D"/>
    <w:rsid w:val="00B44B42"/>
    <w:rsid w:val="00B45429"/>
    <w:rsid w:val="00B46066"/>
    <w:rsid w:val="00B47401"/>
    <w:rsid w:val="00B47BBC"/>
    <w:rsid w:val="00B509D1"/>
    <w:rsid w:val="00B50F52"/>
    <w:rsid w:val="00B5102A"/>
    <w:rsid w:val="00B520BE"/>
    <w:rsid w:val="00B52672"/>
    <w:rsid w:val="00B5292C"/>
    <w:rsid w:val="00B52BDD"/>
    <w:rsid w:val="00B53D4F"/>
    <w:rsid w:val="00B54284"/>
    <w:rsid w:val="00B55D32"/>
    <w:rsid w:val="00B56301"/>
    <w:rsid w:val="00B57090"/>
    <w:rsid w:val="00B63957"/>
    <w:rsid w:val="00B65B3A"/>
    <w:rsid w:val="00B67A07"/>
    <w:rsid w:val="00B7012E"/>
    <w:rsid w:val="00B7127E"/>
    <w:rsid w:val="00B713AB"/>
    <w:rsid w:val="00B716CF"/>
    <w:rsid w:val="00B71DCC"/>
    <w:rsid w:val="00B72110"/>
    <w:rsid w:val="00B7265D"/>
    <w:rsid w:val="00B7550F"/>
    <w:rsid w:val="00B7599B"/>
    <w:rsid w:val="00B75CBE"/>
    <w:rsid w:val="00B77546"/>
    <w:rsid w:val="00B775CB"/>
    <w:rsid w:val="00B804E0"/>
    <w:rsid w:val="00B80816"/>
    <w:rsid w:val="00B80B41"/>
    <w:rsid w:val="00B82840"/>
    <w:rsid w:val="00B83451"/>
    <w:rsid w:val="00B83FC7"/>
    <w:rsid w:val="00B8449E"/>
    <w:rsid w:val="00B844B0"/>
    <w:rsid w:val="00B84F5A"/>
    <w:rsid w:val="00B854B3"/>
    <w:rsid w:val="00B85AA9"/>
    <w:rsid w:val="00B87826"/>
    <w:rsid w:val="00B87EFE"/>
    <w:rsid w:val="00B909B7"/>
    <w:rsid w:val="00B91727"/>
    <w:rsid w:val="00B91F47"/>
    <w:rsid w:val="00B92131"/>
    <w:rsid w:val="00B924D6"/>
    <w:rsid w:val="00B92B28"/>
    <w:rsid w:val="00B93013"/>
    <w:rsid w:val="00B9341A"/>
    <w:rsid w:val="00B9356F"/>
    <w:rsid w:val="00B935F3"/>
    <w:rsid w:val="00B93671"/>
    <w:rsid w:val="00B93ACA"/>
    <w:rsid w:val="00B94F79"/>
    <w:rsid w:val="00B964EA"/>
    <w:rsid w:val="00B96508"/>
    <w:rsid w:val="00B96997"/>
    <w:rsid w:val="00B97257"/>
    <w:rsid w:val="00BA0AA2"/>
    <w:rsid w:val="00BA0D8F"/>
    <w:rsid w:val="00BA0F75"/>
    <w:rsid w:val="00BA1DB9"/>
    <w:rsid w:val="00BA3C51"/>
    <w:rsid w:val="00BA3E40"/>
    <w:rsid w:val="00BA572E"/>
    <w:rsid w:val="00BA5EF6"/>
    <w:rsid w:val="00BA6BB2"/>
    <w:rsid w:val="00BA77A3"/>
    <w:rsid w:val="00BB116C"/>
    <w:rsid w:val="00BB12AC"/>
    <w:rsid w:val="00BB1E45"/>
    <w:rsid w:val="00BB27BF"/>
    <w:rsid w:val="00BB29AC"/>
    <w:rsid w:val="00BB3823"/>
    <w:rsid w:val="00BB42F6"/>
    <w:rsid w:val="00BB58AC"/>
    <w:rsid w:val="00BB5A8E"/>
    <w:rsid w:val="00BB68B1"/>
    <w:rsid w:val="00BB71F2"/>
    <w:rsid w:val="00BB72DE"/>
    <w:rsid w:val="00BB74BA"/>
    <w:rsid w:val="00BB754C"/>
    <w:rsid w:val="00BC124A"/>
    <w:rsid w:val="00BC39B5"/>
    <w:rsid w:val="00BC3FCC"/>
    <w:rsid w:val="00BC40AB"/>
    <w:rsid w:val="00BC4AE3"/>
    <w:rsid w:val="00BC5120"/>
    <w:rsid w:val="00BC5404"/>
    <w:rsid w:val="00BC5D42"/>
    <w:rsid w:val="00BC6069"/>
    <w:rsid w:val="00BC60A4"/>
    <w:rsid w:val="00BC6543"/>
    <w:rsid w:val="00BC6AF7"/>
    <w:rsid w:val="00BC7642"/>
    <w:rsid w:val="00BC7FBA"/>
    <w:rsid w:val="00BD12DB"/>
    <w:rsid w:val="00BD183A"/>
    <w:rsid w:val="00BD2000"/>
    <w:rsid w:val="00BD39CA"/>
    <w:rsid w:val="00BD3D46"/>
    <w:rsid w:val="00BD3E8A"/>
    <w:rsid w:val="00BD41E7"/>
    <w:rsid w:val="00BD456D"/>
    <w:rsid w:val="00BD5901"/>
    <w:rsid w:val="00BD5AD8"/>
    <w:rsid w:val="00BD615B"/>
    <w:rsid w:val="00BD6B18"/>
    <w:rsid w:val="00BD7432"/>
    <w:rsid w:val="00BE037C"/>
    <w:rsid w:val="00BE07F0"/>
    <w:rsid w:val="00BE0A79"/>
    <w:rsid w:val="00BE0D67"/>
    <w:rsid w:val="00BE1148"/>
    <w:rsid w:val="00BE189E"/>
    <w:rsid w:val="00BE1B69"/>
    <w:rsid w:val="00BE21C5"/>
    <w:rsid w:val="00BE22DD"/>
    <w:rsid w:val="00BE2656"/>
    <w:rsid w:val="00BE26CA"/>
    <w:rsid w:val="00BE28EC"/>
    <w:rsid w:val="00BE3C1C"/>
    <w:rsid w:val="00BE3DAE"/>
    <w:rsid w:val="00BE4229"/>
    <w:rsid w:val="00BE4E3E"/>
    <w:rsid w:val="00BE5EF4"/>
    <w:rsid w:val="00BE6331"/>
    <w:rsid w:val="00BE6498"/>
    <w:rsid w:val="00BE64CA"/>
    <w:rsid w:val="00BE6862"/>
    <w:rsid w:val="00BE6C1C"/>
    <w:rsid w:val="00BE7595"/>
    <w:rsid w:val="00BE782D"/>
    <w:rsid w:val="00BE7E7E"/>
    <w:rsid w:val="00BF0D71"/>
    <w:rsid w:val="00BF125C"/>
    <w:rsid w:val="00BF29DC"/>
    <w:rsid w:val="00BF35EA"/>
    <w:rsid w:val="00BF3706"/>
    <w:rsid w:val="00BF3BCE"/>
    <w:rsid w:val="00BF3F4C"/>
    <w:rsid w:val="00BF3F5C"/>
    <w:rsid w:val="00BF4079"/>
    <w:rsid w:val="00BF4980"/>
    <w:rsid w:val="00BF5503"/>
    <w:rsid w:val="00BF552A"/>
    <w:rsid w:val="00BF5564"/>
    <w:rsid w:val="00BF5F30"/>
    <w:rsid w:val="00BF68BC"/>
    <w:rsid w:val="00BF6D3A"/>
    <w:rsid w:val="00BF6E37"/>
    <w:rsid w:val="00BF75E0"/>
    <w:rsid w:val="00C0081D"/>
    <w:rsid w:val="00C00832"/>
    <w:rsid w:val="00C017D9"/>
    <w:rsid w:val="00C01A81"/>
    <w:rsid w:val="00C01B33"/>
    <w:rsid w:val="00C02839"/>
    <w:rsid w:val="00C02A9B"/>
    <w:rsid w:val="00C02B1F"/>
    <w:rsid w:val="00C04454"/>
    <w:rsid w:val="00C0486A"/>
    <w:rsid w:val="00C05813"/>
    <w:rsid w:val="00C05912"/>
    <w:rsid w:val="00C05B52"/>
    <w:rsid w:val="00C05BBC"/>
    <w:rsid w:val="00C06166"/>
    <w:rsid w:val="00C06FC0"/>
    <w:rsid w:val="00C07231"/>
    <w:rsid w:val="00C10312"/>
    <w:rsid w:val="00C109FC"/>
    <w:rsid w:val="00C11DDD"/>
    <w:rsid w:val="00C11EE0"/>
    <w:rsid w:val="00C12B88"/>
    <w:rsid w:val="00C12BAF"/>
    <w:rsid w:val="00C131B3"/>
    <w:rsid w:val="00C13E25"/>
    <w:rsid w:val="00C142DA"/>
    <w:rsid w:val="00C166BD"/>
    <w:rsid w:val="00C1691D"/>
    <w:rsid w:val="00C1791A"/>
    <w:rsid w:val="00C17BB8"/>
    <w:rsid w:val="00C17E58"/>
    <w:rsid w:val="00C201F0"/>
    <w:rsid w:val="00C20FC5"/>
    <w:rsid w:val="00C2120F"/>
    <w:rsid w:val="00C21731"/>
    <w:rsid w:val="00C21DAA"/>
    <w:rsid w:val="00C22166"/>
    <w:rsid w:val="00C22E8D"/>
    <w:rsid w:val="00C231FF"/>
    <w:rsid w:val="00C24540"/>
    <w:rsid w:val="00C248F6"/>
    <w:rsid w:val="00C26DC5"/>
    <w:rsid w:val="00C270EE"/>
    <w:rsid w:val="00C27203"/>
    <w:rsid w:val="00C27277"/>
    <w:rsid w:val="00C2742D"/>
    <w:rsid w:val="00C27731"/>
    <w:rsid w:val="00C30706"/>
    <w:rsid w:val="00C30F9F"/>
    <w:rsid w:val="00C310F3"/>
    <w:rsid w:val="00C326BF"/>
    <w:rsid w:val="00C338E5"/>
    <w:rsid w:val="00C3558E"/>
    <w:rsid w:val="00C373CD"/>
    <w:rsid w:val="00C415AE"/>
    <w:rsid w:val="00C41C84"/>
    <w:rsid w:val="00C42E2D"/>
    <w:rsid w:val="00C430A4"/>
    <w:rsid w:val="00C43603"/>
    <w:rsid w:val="00C438C5"/>
    <w:rsid w:val="00C43F4F"/>
    <w:rsid w:val="00C440FA"/>
    <w:rsid w:val="00C44416"/>
    <w:rsid w:val="00C4444B"/>
    <w:rsid w:val="00C44ABA"/>
    <w:rsid w:val="00C46B3B"/>
    <w:rsid w:val="00C46DD5"/>
    <w:rsid w:val="00C46F23"/>
    <w:rsid w:val="00C47968"/>
    <w:rsid w:val="00C4796B"/>
    <w:rsid w:val="00C47DAE"/>
    <w:rsid w:val="00C50D91"/>
    <w:rsid w:val="00C50E9F"/>
    <w:rsid w:val="00C52689"/>
    <w:rsid w:val="00C52945"/>
    <w:rsid w:val="00C53FC7"/>
    <w:rsid w:val="00C54133"/>
    <w:rsid w:val="00C54333"/>
    <w:rsid w:val="00C54AC3"/>
    <w:rsid w:val="00C55591"/>
    <w:rsid w:val="00C55596"/>
    <w:rsid w:val="00C55848"/>
    <w:rsid w:val="00C56431"/>
    <w:rsid w:val="00C57D69"/>
    <w:rsid w:val="00C602CF"/>
    <w:rsid w:val="00C60B18"/>
    <w:rsid w:val="00C61B40"/>
    <w:rsid w:val="00C6209D"/>
    <w:rsid w:val="00C626A2"/>
    <w:rsid w:val="00C6330B"/>
    <w:rsid w:val="00C6388A"/>
    <w:rsid w:val="00C6407A"/>
    <w:rsid w:val="00C6462A"/>
    <w:rsid w:val="00C64A20"/>
    <w:rsid w:val="00C66810"/>
    <w:rsid w:val="00C66D61"/>
    <w:rsid w:val="00C67EAD"/>
    <w:rsid w:val="00C705FB"/>
    <w:rsid w:val="00C707C1"/>
    <w:rsid w:val="00C70960"/>
    <w:rsid w:val="00C71C88"/>
    <w:rsid w:val="00C7311A"/>
    <w:rsid w:val="00C7332A"/>
    <w:rsid w:val="00C73FCF"/>
    <w:rsid w:val="00C743DF"/>
    <w:rsid w:val="00C75C88"/>
    <w:rsid w:val="00C76DB9"/>
    <w:rsid w:val="00C805B1"/>
    <w:rsid w:val="00C80AAD"/>
    <w:rsid w:val="00C81069"/>
    <w:rsid w:val="00C83A0F"/>
    <w:rsid w:val="00C83A49"/>
    <w:rsid w:val="00C870F4"/>
    <w:rsid w:val="00C877CE"/>
    <w:rsid w:val="00C87961"/>
    <w:rsid w:val="00C913B8"/>
    <w:rsid w:val="00C9161D"/>
    <w:rsid w:val="00C918FA"/>
    <w:rsid w:val="00C92997"/>
    <w:rsid w:val="00C939AD"/>
    <w:rsid w:val="00C93A66"/>
    <w:rsid w:val="00C93F77"/>
    <w:rsid w:val="00C941BC"/>
    <w:rsid w:val="00C94A30"/>
    <w:rsid w:val="00C95372"/>
    <w:rsid w:val="00C959DD"/>
    <w:rsid w:val="00C95C3F"/>
    <w:rsid w:val="00C9637F"/>
    <w:rsid w:val="00C9638D"/>
    <w:rsid w:val="00C96C1C"/>
    <w:rsid w:val="00C97713"/>
    <w:rsid w:val="00CA1629"/>
    <w:rsid w:val="00CA269B"/>
    <w:rsid w:val="00CA3A24"/>
    <w:rsid w:val="00CA40FB"/>
    <w:rsid w:val="00CA4EBD"/>
    <w:rsid w:val="00CA6233"/>
    <w:rsid w:val="00CA78F2"/>
    <w:rsid w:val="00CB08C4"/>
    <w:rsid w:val="00CB1298"/>
    <w:rsid w:val="00CB1B7E"/>
    <w:rsid w:val="00CB2905"/>
    <w:rsid w:val="00CB432F"/>
    <w:rsid w:val="00CB4713"/>
    <w:rsid w:val="00CB48C0"/>
    <w:rsid w:val="00CB5B62"/>
    <w:rsid w:val="00CB6200"/>
    <w:rsid w:val="00CB6861"/>
    <w:rsid w:val="00CB79C9"/>
    <w:rsid w:val="00CB79DE"/>
    <w:rsid w:val="00CC0744"/>
    <w:rsid w:val="00CC12AF"/>
    <w:rsid w:val="00CC18B0"/>
    <w:rsid w:val="00CC2341"/>
    <w:rsid w:val="00CC3204"/>
    <w:rsid w:val="00CC3B9C"/>
    <w:rsid w:val="00CC3F1A"/>
    <w:rsid w:val="00CC45B9"/>
    <w:rsid w:val="00CC45E0"/>
    <w:rsid w:val="00CC5521"/>
    <w:rsid w:val="00CC6DEA"/>
    <w:rsid w:val="00CC6F55"/>
    <w:rsid w:val="00CC719B"/>
    <w:rsid w:val="00CD1267"/>
    <w:rsid w:val="00CD20EE"/>
    <w:rsid w:val="00CD2853"/>
    <w:rsid w:val="00CD2C97"/>
    <w:rsid w:val="00CD46BE"/>
    <w:rsid w:val="00CD47D9"/>
    <w:rsid w:val="00CD52F4"/>
    <w:rsid w:val="00CD5314"/>
    <w:rsid w:val="00CD5E8D"/>
    <w:rsid w:val="00CD755A"/>
    <w:rsid w:val="00CD7E62"/>
    <w:rsid w:val="00CD7FB6"/>
    <w:rsid w:val="00CE01AA"/>
    <w:rsid w:val="00CE06EE"/>
    <w:rsid w:val="00CE1F75"/>
    <w:rsid w:val="00CE2A60"/>
    <w:rsid w:val="00CE2FEB"/>
    <w:rsid w:val="00CE3CA6"/>
    <w:rsid w:val="00CE4010"/>
    <w:rsid w:val="00CE416C"/>
    <w:rsid w:val="00CE4B7C"/>
    <w:rsid w:val="00CE4CD1"/>
    <w:rsid w:val="00CE639D"/>
    <w:rsid w:val="00CE6D9E"/>
    <w:rsid w:val="00CE7C46"/>
    <w:rsid w:val="00CF0DDB"/>
    <w:rsid w:val="00CF1E47"/>
    <w:rsid w:val="00CF1EF3"/>
    <w:rsid w:val="00CF48AF"/>
    <w:rsid w:val="00CF5A2D"/>
    <w:rsid w:val="00CF5FCA"/>
    <w:rsid w:val="00CF635B"/>
    <w:rsid w:val="00CF7B5C"/>
    <w:rsid w:val="00CF7D10"/>
    <w:rsid w:val="00D0047D"/>
    <w:rsid w:val="00D00888"/>
    <w:rsid w:val="00D0099E"/>
    <w:rsid w:val="00D0182C"/>
    <w:rsid w:val="00D02BF3"/>
    <w:rsid w:val="00D03FAF"/>
    <w:rsid w:val="00D0425D"/>
    <w:rsid w:val="00D054E9"/>
    <w:rsid w:val="00D057EB"/>
    <w:rsid w:val="00D05A5D"/>
    <w:rsid w:val="00D0606D"/>
    <w:rsid w:val="00D067DE"/>
    <w:rsid w:val="00D06AD1"/>
    <w:rsid w:val="00D0718A"/>
    <w:rsid w:val="00D07530"/>
    <w:rsid w:val="00D07B8C"/>
    <w:rsid w:val="00D07C4C"/>
    <w:rsid w:val="00D109BA"/>
    <w:rsid w:val="00D10A32"/>
    <w:rsid w:val="00D10FA9"/>
    <w:rsid w:val="00D111A9"/>
    <w:rsid w:val="00D1200A"/>
    <w:rsid w:val="00D12F3A"/>
    <w:rsid w:val="00D13EE0"/>
    <w:rsid w:val="00D1404E"/>
    <w:rsid w:val="00D15374"/>
    <w:rsid w:val="00D16156"/>
    <w:rsid w:val="00D176C1"/>
    <w:rsid w:val="00D178A4"/>
    <w:rsid w:val="00D17B31"/>
    <w:rsid w:val="00D17F5D"/>
    <w:rsid w:val="00D2056B"/>
    <w:rsid w:val="00D2063B"/>
    <w:rsid w:val="00D220C8"/>
    <w:rsid w:val="00D227E6"/>
    <w:rsid w:val="00D23624"/>
    <w:rsid w:val="00D2487E"/>
    <w:rsid w:val="00D26835"/>
    <w:rsid w:val="00D26A98"/>
    <w:rsid w:val="00D26C6B"/>
    <w:rsid w:val="00D273DB"/>
    <w:rsid w:val="00D27C27"/>
    <w:rsid w:val="00D27DD7"/>
    <w:rsid w:val="00D3002D"/>
    <w:rsid w:val="00D305CC"/>
    <w:rsid w:val="00D30DC6"/>
    <w:rsid w:val="00D31370"/>
    <w:rsid w:val="00D3259F"/>
    <w:rsid w:val="00D3339B"/>
    <w:rsid w:val="00D34EAE"/>
    <w:rsid w:val="00D35A23"/>
    <w:rsid w:val="00D35ACD"/>
    <w:rsid w:val="00D36E4F"/>
    <w:rsid w:val="00D37808"/>
    <w:rsid w:val="00D40150"/>
    <w:rsid w:val="00D404D9"/>
    <w:rsid w:val="00D4122F"/>
    <w:rsid w:val="00D42ECA"/>
    <w:rsid w:val="00D42EEA"/>
    <w:rsid w:val="00D435D7"/>
    <w:rsid w:val="00D44239"/>
    <w:rsid w:val="00D446AC"/>
    <w:rsid w:val="00D44ABA"/>
    <w:rsid w:val="00D44C9A"/>
    <w:rsid w:val="00D44CA7"/>
    <w:rsid w:val="00D44DC9"/>
    <w:rsid w:val="00D45307"/>
    <w:rsid w:val="00D45449"/>
    <w:rsid w:val="00D4610A"/>
    <w:rsid w:val="00D47051"/>
    <w:rsid w:val="00D4784A"/>
    <w:rsid w:val="00D4788D"/>
    <w:rsid w:val="00D47A4C"/>
    <w:rsid w:val="00D5087A"/>
    <w:rsid w:val="00D50AEB"/>
    <w:rsid w:val="00D50F2C"/>
    <w:rsid w:val="00D51517"/>
    <w:rsid w:val="00D51B37"/>
    <w:rsid w:val="00D53F79"/>
    <w:rsid w:val="00D543FF"/>
    <w:rsid w:val="00D546AB"/>
    <w:rsid w:val="00D5549E"/>
    <w:rsid w:val="00D55DBB"/>
    <w:rsid w:val="00D5679F"/>
    <w:rsid w:val="00D56D0A"/>
    <w:rsid w:val="00D578DE"/>
    <w:rsid w:val="00D60255"/>
    <w:rsid w:val="00D60617"/>
    <w:rsid w:val="00D60814"/>
    <w:rsid w:val="00D60998"/>
    <w:rsid w:val="00D60CFE"/>
    <w:rsid w:val="00D60D7D"/>
    <w:rsid w:val="00D61502"/>
    <w:rsid w:val="00D6210B"/>
    <w:rsid w:val="00D64526"/>
    <w:rsid w:val="00D646CC"/>
    <w:rsid w:val="00D64B86"/>
    <w:rsid w:val="00D67DCC"/>
    <w:rsid w:val="00D70297"/>
    <w:rsid w:val="00D703CB"/>
    <w:rsid w:val="00D71B48"/>
    <w:rsid w:val="00D72389"/>
    <w:rsid w:val="00D732BF"/>
    <w:rsid w:val="00D74054"/>
    <w:rsid w:val="00D7465F"/>
    <w:rsid w:val="00D746A8"/>
    <w:rsid w:val="00D75405"/>
    <w:rsid w:val="00D757A1"/>
    <w:rsid w:val="00D760C4"/>
    <w:rsid w:val="00D7642C"/>
    <w:rsid w:val="00D7648B"/>
    <w:rsid w:val="00D773CB"/>
    <w:rsid w:val="00D77576"/>
    <w:rsid w:val="00D808B6"/>
    <w:rsid w:val="00D80946"/>
    <w:rsid w:val="00D80B52"/>
    <w:rsid w:val="00D8253B"/>
    <w:rsid w:val="00D83C6B"/>
    <w:rsid w:val="00D84268"/>
    <w:rsid w:val="00D85BEB"/>
    <w:rsid w:val="00D861CF"/>
    <w:rsid w:val="00D865AF"/>
    <w:rsid w:val="00D87514"/>
    <w:rsid w:val="00D8755C"/>
    <w:rsid w:val="00D87CFC"/>
    <w:rsid w:val="00D87E08"/>
    <w:rsid w:val="00D87FEC"/>
    <w:rsid w:val="00D90784"/>
    <w:rsid w:val="00D90E8F"/>
    <w:rsid w:val="00D90FC9"/>
    <w:rsid w:val="00D94A64"/>
    <w:rsid w:val="00D95F91"/>
    <w:rsid w:val="00D96A9F"/>
    <w:rsid w:val="00D97FDB"/>
    <w:rsid w:val="00DA1074"/>
    <w:rsid w:val="00DA1A1B"/>
    <w:rsid w:val="00DA1E3E"/>
    <w:rsid w:val="00DA2587"/>
    <w:rsid w:val="00DA29A0"/>
    <w:rsid w:val="00DA29D9"/>
    <w:rsid w:val="00DA2CC5"/>
    <w:rsid w:val="00DA3EB1"/>
    <w:rsid w:val="00DA43B2"/>
    <w:rsid w:val="00DA55A0"/>
    <w:rsid w:val="00DA6823"/>
    <w:rsid w:val="00DA7249"/>
    <w:rsid w:val="00DB05E8"/>
    <w:rsid w:val="00DB0C35"/>
    <w:rsid w:val="00DB28A9"/>
    <w:rsid w:val="00DB2904"/>
    <w:rsid w:val="00DB2EE3"/>
    <w:rsid w:val="00DB3604"/>
    <w:rsid w:val="00DB373E"/>
    <w:rsid w:val="00DB3C81"/>
    <w:rsid w:val="00DB3D31"/>
    <w:rsid w:val="00DB40D5"/>
    <w:rsid w:val="00DB4E06"/>
    <w:rsid w:val="00DB5A88"/>
    <w:rsid w:val="00DB6EAC"/>
    <w:rsid w:val="00DB7979"/>
    <w:rsid w:val="00DB7BFA"/>
    <w:rsid w:val="00DC0B76"/>
    <w:rsid w:val="00DC12E2"/>
    <w:rsid w:val="00DC1DF0"/>
    <w:rsid w:val="00DC244B"/>
    <w:rsid w:val="00DC3723"/>
    <w:rsid w:val="00DC3EE5"/>
    <w:rsid w:val="00DC493C"/>
    <w:rsid w:val="00DC4BE3"/>
    <w:rsid w:val="00DC4EC1"/>
    <w:rsid w:val="00DC55F8"/>
    <w:rsid w:val="00DC6F16"/>
    <w:rsid w:val="00DC7811"/>
    <w:rsid w:val="00DC7A3C"/>
    <w:rsid w:val="00DD04F0"/>
    <w:rsid w:val="00DD156E"/>
    <w:rsid w:val="00DD1E25"/>
    <w:rsid w:val="00DD220C"/>
    <w:rsid w:val="00DD25B5"/>
    <w:rsid w:val="00DD4CFE"/>
    <w:rsid w:val="00DD5B88"/>
    <w:rsid w:val="00DD5C45"/>
    <w:rsid w:val="00DD5CBB"/>
    <w:rsid w:val="00DD62AC"/>
    <w:rsid w:val="00DD647E"/>
    <w:rsid w:val="00DD6692"/>
    <w:rsid w:val="00DD6D29"/>
    <w:rsid w:val="00DD719C"/>
    <w:rsid w:val="00DD7354"/>
    <w:rsid w:val="00DD7911"/>
    <w:rsid w:val="00DE0782"/>
    <w:rsid w:val="00DE09F6"/>
    <w:rsid w:val="00DE0A91"/>
    <w:rsid w:val="00DE1791"/>
    <w:rsid w:val="00DE1E2F"/>
    <w:rsid w:val="00DE2C19"/>
    <w:rsid w:val="00DE2E5A"/>
    <w:rsid w:val="00DE4307"/>
    <w:rsid w:val="00DE460A"/>
    <w:rsid w:val="00DE5039"/>
    <w:rsid w:val="00DE5AFE"/>
    <w:rsid w:val="00DE5F6E"/>
    <w:rsid w:val="00DE743C"/>
    <w:rsid w:val="00DE7CAD"/>
    <w:rsid w:val="00DF12A2"/>
    <w:rsid w:val="00DF13EC"/>
    <w:rsid w:val="00DF57C1"/>
    <w:rsid w:val="00DF5BA3"/>
    <w:rsid w:val="00DF6102"/>
    <w:rsid w:val="00DF6AEA"/>
    <w:rsid w:val="00DF7050"/>
    <w:rsid w:val="00DF748E"/>
    <w:rsid w:val="00E00003"/>
    <w:rsid w:val="00E00624"/>
    <w:rsid w:val="00E00AA0"/>
    <w:rsid w:val="00E00F59"/>
    <w:rsid w:val="00E01419"/>
    <w:rsid w:val="00E01C2A"/>
    <w:rsid w:val="00E01C48"/>
    <w:rsid w:val="00E01C94"/>
    <w:rsid w:val="00E02E4F"/>
    <w:rsid w:val="00E03CCC"/>
    <w:rsid w:val="00E0418D"/>
    <w:rsid w:val="00E04903"/>
    <w:rsid w:val="00E04B3F"/>
    <w:rsid w:val="00E04C8C"/>
    <w:rsid w:val="00E0642B"/>
    <w:rsid w:val="00E06E86"/>
    <w:rsid w:val="00E073E3"/>
    <w:rsid w:val="00E07E00"/>
    <w:rsid w:val="00E113EA"/>
    <w:rsid w:val="00E116D6"/>
    <w:rsid w:val="00E11AF7"/>
    <w:rsid w:val="00E11C5D"/>
    <w:rsid w:val="00E11D59"/>
    <w:rsid w:val="00E1321F"/>
    <w:rsid w:val="00E13824"/>
    <w:rsid w:val="00E1434E"/>
    <w:rsid w:val="00E14688"/>
    <w:rsid w:val="00E14801"/>
    <w:rsid w:val="00E16578"/>
    <w:rsid w:val="00E2118F"/>
    <w:rsid w:val="00E21970"/>
    <w:rsid w:val="00E22034"/>
    <w:rsid w:val="00E22424"/>
    <w:rsid w:val="00E234A8"/>
    <w:rsid w:val="00E23FFB"/>
    <w:rsid w:val="00E241CD"/>
    <w:rsid w:val="00E244D7"/>
    <w:rsid w:val="00E24615"/>
    <w:rsid w:val="00E24A65"/>
    <w:rsid w:val="00E25506"/>
    <w:rsid w:val="00E25818"/>
    <w:rsid w:val="00E25B48"/>
    <w:rsid w:val="00E25DD3"/>
    <w:rsid w:val="00E260D4"/>
    <w:rsid w:val="00E274A3"/>
    <w:rsid w:val="00E302DD"/>
    <w:rsid w:val="00E31223"/>
    <w:rsid w:val="00E31377"/>
    <w:rsid w:val="00E3195A"/>
    <w:rsid w:val="00E32275"/>
    <w:rsid w:val="00E337C5"/>
    <w:rsid w:val="00E34208"/>
    <w:rsid w:val="00E346CA"/>
    <w:rsid w:val="00E348A3"/>
    <w:rsid w:val="00E34949"/>
    <w:rsid w:val="00E3498C"/>
    <w:rsid w:val="00E3520D"/>
    <w:rsid w:val="00E370DB"/>
    <w:rsid w:val="00E3779D"/>
    <w:rsid w:val="00E40458"/>
    <w:rsid w:val="00E40AFE"/>
    <w:rsid w:val="00E40B9A"/>
    <w:rsid w:val="00E411CF"/>
    <w:rsid w:val="00E422EE"/>
    <w:rsid w:val="00E424B6"/>
    <w:rsid w:val="00E43459"/>
    <w:rsid w:val="00E437E3"/>
    <w:rsid w:val="00E4401F"/>
    <w:rsid w:val="00E452F9"/>
    <w:rsid w:val="00E46048"/>
    <w:rsid w:val="00E47753"/>
    <w:rsid w:val="00E477DA"/>
    <w:rsid w:val="00E47C4C"/>
    <w:rsid w:val="00E5047E"/>
    <w:rsid w:val="00E508E8"/>
    <w:rsid w:val="00E5206A"/>
    <w:rsid w:val="00E52097"/>
    <w:rsid w:val="00E5301D"/>
    <w:rsid w:val="00E53736"/>
    <w:rsid w:val="00E5401C"/>
    <w:rsid w:val="00E547A3"/>
    <w:rsid w:val="00E54933"/>
    <w:rsid w:val="00E54E32"/>
    <w:rsid w:val="00E5529B"/>
    <w:rsid w:val="00E5539C"/>
    <w:rsid w:val="00E553DF"/>
    <w:rsid w:val="00E55469"/>
    <w:rsid w:val="00E555B8"/>
    <w:rsid w:val="00E56B0B"/>
    <w:rsid w:val="00E6090C"/>
    <w:rsid w:val="00E60DBD"/>
    <w:rsid w:val="00E61F1C"/>
    <w:rsid w:val="00E6233E"/>
    <w:rsid w:val="00E6295F"/>
    <w:rsid w:val="00E651D2"/>
    <w:rsid w:val="00E65E6F"/>
    <w:rsid w:val="00E66B7B"/>
    <w:rsid w:val="00E6753D"/>
    <w:rsid w:val="00E67F1C"/>
    <w:rsid w:val="00E70241"/>
    <w:rsid w:val="00E715A1"/>
    <w:rsid w:val="00E71AE9"/>
    <w:rsid w:val="00E71F03"/>
    <w:rsid w:val="00E72D04"/>
    <w:rsid w:val="00E733A0"/>
    <w:rsid w:val="00E76AED"/>
    <w:rsid w:val="00E76B87"/>
    <w:rsid w:val="00E779C2"/>
    <w:rsid w:val="00E800D6"/>
    <w:rsid w:val="00E82466"/>
    <w:rsid w:val="00E829AC"/>
    <w:rsid w:val="00E831B6"/>
    <w:rsid w:val="00E83480"/>
    <w:rsid w:val="00E8390D"/>
    <w:rsid w:val="00E83BF0"/>
    <w:rsid w:val="00E83C15"/>
    <w:rsid w:val="00E84C8F"/>
    <w:rsid w:val="00E85546"/>
    <w:rsid w:val="00E8666C"/>
    <w:rsid w:val="00E86743"/>
    <w:rsid w:val="00E86E6B"/>
    <w:rsid w:val="00E86FA7"/>
    <w:rsid w:val="00E87D7C"/>
    <w:rsid w:val="00E90DCB"/>
    <w:rsid w:val="00E910D5"/>
    <w:rsid w:val="00E937AE"/>
    <w:rsid w:val="00E94747"/>
    <w:rsid w:val="00E95106"/>
    <w:rsid w:val="00E95495"/>
    <w:rsid w:val="00E95707"/>
    <w:rsid w:val="00E96041"/>
    <w:rsid w:val="00E97A28"/>
    <w:rsid w:val="00E97B83"/>
    <w:rsid w:val="00EA050F"/>
    <w:rsid w:val="00EA09FA"/>
    <w:rsid w:val="00EA1134"/>
    <w:rsid w:val="00EA13D9"/>
    <w:rsid w:val="00EA178F"/>
    <w:rsid w:val="00EA2EAD"/>
    <w:rsid w:val="00EA3EDB"/>
    <w:rsid w:val="00EA6510"/>
    <w:rsid w:val="00EA68C7"/>
    <w:rsid w:val="00EA7E50"/>
    <w:rsid w:val="00EA7EAB"/>
    <w:rsid w:val="00EB02F1"/>
    <w:rsid w:val="00EB107E"/>
    <w:rsid w:val="00EB2233"/>
    <w:rsid w:val="00EB329B"/>
    <w:rsid w:val="00EB4E82"/>
    <w:rsid w:val="00EB5AD8"/>
    <w:rsid w:val="00EB6308"/>
    <w:rsid w:val="00EB643D"/>
    <w:rsid w:val="00EB667B"/>
    <w:rsid w:val="00EB6883"/>
    <w:rsid w:val="00EB717F"/>
    <w:rsid w:val="00EC04C0"/>
    <w:rsid w:val="00EC1800"/>
    <w:rsid w:val="00EC1F01"/>
    <w:rsid w:val="00EC1F62"/>
    <w:rsid w:val="00EC2744"/>
    <w:rsid w:val="00EC2B79"/>
    <w:rsid w:val="00EC2D51"/>
    <w:rsid w:val="00EC3129"/>
    <w:rsid w:val="00EC39C3"/>
    <w:rsid w:val="00EC43C5"/>
    <w:rsid w:val="00EC477E"/>
    <w:rsid w:val="00EC5AC9"/>
    <w:rsid w:val="00EC67DB"/>
    <w:rsid w:val="00EC69C9"/>
    <w:rsid w:val="00ED139F"/>
    <w:rsid w:val="00ED1BB9"/>
    <w:rsid w:val="00ED224B"/>
    <w:rsid w:val="00ED22CC"/>
    <w:rsid w:val="00ED2388"/>
    <w:rsid w:val="00ED2890"/>
    <w:rsid w:val="00ED2D43"/>
    <w:rsid w:val="00ED2ECA"/>
    <w:rsid w:val="00ED2FAC"/>
    <w:rsid w:val="00ED34F6"/>
    <w:rsid w:val="00ED394E"/>
    <w:rsid w:val="00ED47DA"/>
    <w:rsid w:val="00ED49B9"/>
    <w:rsid w:val="00ED6661"/>
    <w:rsid w:val="00ED69E4"/>
    <w:rsid w:val="00ED6B21"/>
    <w:rsid w:val="00ED6CD3"/>
    <w:rsid w:val="00ED735E"/>
    <w:rsid w:val="00ED74D7"/>
    <w:rsid w:val="00ED76E6"/>
    <w:rsid w:val="00EE0EA3"/>
    <w:rsid w:val="00EE35E9"/>
    <w:rsid w:val="00EE3AE7"/>
    <w:rsid w:val="00EE3C95"/>
    <w:rsid w:val="00EE3CDE"/>
    <w:rsid w:val="00EE408B"/>
    <w:rsid w:val="00EE51B5"/>
    <w:rsid w:val="00EE5D09"/>
    <w:rsid w:val="00EE663D"/>
    <w:rsid w:val="00EE6AD5"/>
    <w:rsid w:val="00EE6CBC"/>
    <w:rsid w:val="00EE7766"/>
    <w:rsid w:val="00EE7EC2"/>
    <w:rsid w:val="00EF0137"/>
    <w:rsid w:val="00EF04B6"/>
    <w:rsid w:val="00EF19F0"/>
    <w:rsid w:val="00EF2BD1"/>
    <w:rsid w:val="00EF2E38"/>
    <w:rsid w:val="00EF3E8E"/>
    <w:rsid w:val="00EF47C6"/>
    <w:rsid w:val="00EF4A8C"/>
    <w:rsid w:val="00EF4C91"/>
    <w:rsid w:val="00EF4E86"/>
    <w:rsid w:val="00EF55D0"/>
    <w:rsid w:val="00EF578A"/>
    <w:rsid w:val="00EF677B"/>
    <w:rsid w:val="00EF6DF5"/>
    <w:rsid w:val="00EF72F4"/>
    <w:rsid w:val="00EF7637"/>
    <w:rsid w:val="00EF7E8A"/>
    <w:rsid w:val="00F0018B"/>
    <w:rsid w:val="00F010D5"/>
    <w:rsid w:val="00F02CB9"/>
    <w:rsid w:val="00F02D60"/>
    <w:rsid w:val="00F031F1"/>
    <w:rsid w:val="00F03886"/>
    <w:rsid w:val="00F03BDF"/>
    <w:rsid w:val="00F04E81"/>
    <w:rsid w:val="00F0588C"/>
    <w:rsid w:val="00F06521"/>
    <w:rsid w:val="00F06C23"/>
    <w:rsid w:val="00F07596"/>
    <w:rsid w:val="00F0784C"/>
    <w:rsid w:val="00F1009D"/>
    <w:rsid w:val="00F10358"/>
    <w:rsid w:val="00F1163D"/>
    <w:rsid w:val="00F13C67"/>
    <w:rsid w:val="00F13FC2"/>
    <w:rsid w:val="00F15CC7"/>
    <w:rsid w:val="00F15F3A"/>
    <w:rsid w:val="00F177D4"/>
    <w:rsid w:val="00F17E9A"/>
    <w:rsid w:val="00F17F81"/>
    <w:rsid w:val="00F201AA"/>
    <w:rsid w:val="00F21563"/>
    <w:rsid w:val="00F22D26"/>
    <w:rsid w:val="00F22E2E"/>
    <w:rsid w:val="00F23442"/>
    <w:rsid w:val="00F23FB5"/>
    <w:rsid w:val="00F240C0"/>
    <w:rsid w:val="00F2460F"/>
    <w:rsid w:val="00F24C51"/>
    <w:rsid w:val="00F252E1"/>
    <w:rsid w:val="00F2544D"/>
    <w:rsid w:val="00F25BD3"/>
    <w:rsid w:val="00F25E83"/>
    <w:rsid w:val="00F2608C"/>
    <w:rsid w:val="00F26B3F"/>
    <w:rsid w:val="00F27AB5"/>
    <w:rsid w:val="00F30352"/>
    <w:rsid w:val="00F30423"/>
    <w:rsid w:val="00F31596"/>
    <w:rsid w:val="00F323C6"/>
    <w:rsid w:val="00F329C3"/>
    <w:rsid w:val="00F33434"/>
    <w:rsid w:val="00F33A4E"/>
    <w:rsid w:val="00F3417C"/>
    <w:rsid w:val="00F348FC"/>
    <w:rsid w:val="00F35968"/>
    <w:rsid w:val="00F4095F"/>
    <w:rsid w:val="00F40C3D"/>
    <w:rsid w:val="00F41A96"/>
    <w:rsid w:val="00F41D2E"/>
    <w:rsid w:val="00F42DE3"/>
    <w:rsid w:val="00F435D3"/>
    <w:rsid w:val="00F43A7F"/>
    <w:rsid w:val="00F445E7"/>
    <w:rsid w:val="00F445EE"/>
    <w:rsid w:val="00F448AF"/>
    <w:rsid w:val="00F449C4"/>
    <w:rsid w:val="00F44DF3"/>
    <w:rsid w:val="00F45B30"/>
    <w:rsid w:val="00F45CDB"/>
    <w:rsid w:val="00F46666"/>
    <w:rsid w:val="00F468E4"/>
    <w:rsid w:val="00F46BCF"/>
    <w:rsid w:val="00F47052"/>
    <w:rsid w:val="00F506AF"/>
    <w:rsid w:val="00F51D7E"/>
    <w:rsid w:val="00F525E4"/>
    <w:rsid w:val="00F536A1"/>
    <w:rsid w:val="00F53E50"/>
    <w:rsid w:val="00F53EA5"/>
    <w:rsid w:val="00F54887"/>
    <w:rsid w:val="00F55C9B"/>
    <w:rsid w:val="00F57140"/>
    <w:rsid w:val="00F57774"/>
    <w:rsid w:val="00F60946"/>
    <w:rsid w:val="00F60C49"/>
    <w:rsid w:val="00F61F9A"/>
    <w:rsid w:val="00F621E0"/>
    <w:rsid w:val="00F62399"/>
    <w:rsid w:val="00F635EC"/>
    <w:rsid w:val="00F6748B"/>
    <w:rsid w:val="00F675CB"/>
    <w:rsid w:val="00F6769E"/>
    <w:rsid w:val="00F70938"/>
    <w:rsid w:val="00F70B49"/>
    <w:rsid w:val="00F7115C"/>
    <w:rsid w:val="00F71999"/>
    <w:rsid w:val="00F72122"/>
    <w:rsid w:val="00F7252F"/>
    <w:rsid w:val="00F72CF8"/>
    <w:rsid w:val="00F736F7"/>
    <w:rsid w:val="00F74333"/>
    <w:rsid w:val="00F76526"/>
    <w:rsid w:val="00F77357"/>
    <w:rsid w:val="00F77660"/>
    <w:rsid w:val="00F7777A"/>
    <w:rsid w:val="00F8069B"/>
    <w:rsid w:val="00F83960"/>
    <w:rsid w:val="00F83CB4"/>
    <w:rsid w:val="00F83D0D"/>
    <w:rsid w:val="00F83F27"/>
    <w:rsid w:val="00F906D6"/>
    <w:rsid w:val="00F90FC4"/>
    <w:rsid w:val="00F91E56"/>
    <w:rsid w:val="00F924CB"/>
    <w:rsid w:val="00F93DDC"/>
    <w:rsid w:val="00F952C7"/>
    <w:rsid w:val="00F9596E"/>
    <w:rsid w:val="00F970CD"/>
    <w:rsid w:val="00FA0AA5"/>
    <w:rsid w:val="00FA20D4"/>
    <w:rsid w:val="00FA2146"/>
    <w:rsid w:val="00FA236A"/>
    <w:rsid w:val="00FA2AAF"/>
    <w:rsid w:val="00FA2F85"/>
    <w:rsid w:val="00FA2FC2"/>
    <w:rsid w:val="00FA5D35"/>
    <w:rsid w:val="00FA6156"/>
    <w:rsid w:val="00FB02EC"/>
    <w:rsid w:val="00FB0347"/>
    <w:rsid w:val="00FB2047"/>
    <w:rsid w:val="00FB22F0"/>
    <w:rsid w:val="00FB2416"/>
    <w:rsid w:val="00FB2A09"/>
    <w:rsid w:val="00FB3615"/>
    <w:rsid w:val="00FB372D"/>
    <w:rsid w:val="00FB38F7"/>
    <w:rsid w:val="00FB4B55"/>
    <w:rsid w:val="00FB4F95"/>
    <w:rsid w:val="00FB5267"/>
    <w:rsid w:val="00FB54FE"/>
    <w:rsid w:val="00FB5AFB"/>
    <w:rsid w:val="00FB5CCA"/>
    <w:rsid w:val="00FB6033"/>
    <w:rsid w:val="00FB670C"/>
    <w:rsid w:val="00FB678C"/>
    <w:rsid w:val="00FC0E5D"/>
    <w:rsid w:val="00FC1671"/>
    <w:rsid w:val="00FC1BE5"/>
    <w:rsid w:val="00FC1E43"/>
    <w:rsid w:val="00FC27EB"/>
    <w:rsid w:val="00FC2857"/>
    <w:rsid w:val="00FC285F"/>
    <w:rsid w:val="00FC30F9"/>
    <w:rsid w:val="00FC343D"/>
    <w:rsid w:val="00FC4052"/>
    <w:rsid w:val="00FC4B02"/>
    <w:rsid w:val="00FC51AC"/>
    <w:rsid w:val="00FC7723"/>
    <w:rsid w:val="00FC7A5D"/>
    <w:rsid w:val="00FC7F57"/>
    <w:rsid w:val="00FD0082"/>
    <w:rsid w:val="00FD2415"/>
    <w:rsid w:val="00FD3723"/>
    <w:rsid w:val="00FD4603"/>
    <w:rsid w:val="00FD4E7D"/>
    <w:rsid w:val="00FD63E0"/>
    <w:rsid w:val="00FD6C11"/>
    <w:rsid w:val="00FD6F09"/>
    <w:rsid w:val="00FE08B3"/>
    <w:rsid w:val="00FE1626"/>
    <w:rsid w:val="00FE20DB"/>
    <w:rsid w:val="00FE2743"/>
    <w:rsid w:val="00FE2C9E"/>
    <w:rsid w:val="00FE2D94"/>
    <w:rsid w:val="00FE3613"/>
    <w:rsid w:val="00FE5124"/>
    <w:rsid w:val="00FE6424"/>
    <w:rsid w:val="00FE6853"/>
    <w:rsid w:val="00FE72E8"/>
    <w:rsid w:val="00FE788C"/>
    <w:rsid w:val="00FE7FB3"/>
    <w:rsid w:val="00FF0FAE"/>
    <w:rsid w:val="00FF114A"/>
    <w:rsid w:val="00FF1481"/>
    <w:rsid w:val="00FF23CA"/>
    <w:rsid w:val="00FF358B"/>
    <w:rsid w:val="00FF4414"/>
    <w:rsid w:val="00FF489B"/>
    <w:rsid w:val="00FF4E29"/>
    <w:rsid w:val="00FF5002"/>
    <w:rsid w:val="00FF5330"/>
    <w:rsid w:val="00FF54B2"/>
    <w:rsid w:val="00FF5BDF"/>
    <w:rsid w:val="00FF5D11"/>
    <w:rsid w:val="00FF6A96"/>
    <w:rsid w:val="00FF75DF"/>
    <w:rsid w:val="00FF7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colormenu v:ext="edit" strokecolor="none"/>
    </o:shapedefaults>
    <o:shapelayout v:ext="edit">
      <o:idmap v:ext="edit" data="1"/>
      <o:regrouptable v:ext="edit">
        <o:entry new="1" old="0"/>
        <o:entry new="2" old="0"/>
        <o:entry new="3" old="0"/>
        <o:entry new="4"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E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81DD8"/>
    <w:rPr>
      <w:sz w:val="22"/>
      <w:szCs w:val="22"/>
      <w:lang w:eastAsia="en-US"/>
    </w:rPr>
  </w:style>
  <w:style w:type="paragraph" w:styleId="BalloonText">
    <w:name w:val="Balloon Text"/>
    <w:basedOn w:val="Normal"/>
    <w:link w:val="BalloonTextChar"/>
    <w:uiPriority w:val="99"/>
    <w:semiHidden/>
    <w:unhideWhenUsed/>
    <w:rsid w:val="00C54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AC3"/>
    <w:rPr>
      <w:rFonts w:ascii="Tahoma" w:hAnsi="Tahoma" w:cs="Tahoma"/>
      <w:sz w:val="16"/>
      <w:szCs w:val="16"/>
    </w:rPr>
  </w:style>
  <w:style w:type="paragraph" w:styleId="FootnoteText">
    <w:name w:val="footnote text"/>
    <w:basedOn w:val="Normal"/>
    <w:link w:val="FootnoteTextChar"/>
    <w:uiPriority w:val="99"/>
    <w:rsid w:val="00E234A8"/>
    <w:pPr>
      <w:spacing w:after="0" w:line="240" w:lineRule="auto"/>
    </w:pPr>
    <w:rPr>
      <w:rFonts w:ascii="Times New Roman" w:eastAsia="Batang" w:hAnsi="Times New Roman"/>
      <w:sz w:val="20"/>
      <w:szCs w:val="20"/>
      <w:lang w:val="en-AU" w:eastAsia="ko-KR"/>
    </w:rPr>
  </w:style>
  <w:style w:type="character" w:customStyle="1" w:styleId="FootnoteTextChar">
    <w:name w:val="Footnote Text Char"/>
    <w:basedOn w:val="DefaultParagraphFont"/>
    <w:link w:val="FootnoteText"/>
    <w:uiPriority w:val="99"/>
    <w:rsid w:val="00E234A8"/>
    <w:rPr>
      <w:rFonts w:ascii="Times New Roman" w:eastAsia="Batang" w:hAnsi="Times New Roman"/>
      <w:lang w:val="en-AU" w:eastAsia="ko-KR"/>
    </w:rPr>
  </w:style>
  <w:style w:type="character" w:styleId="FootnoteReference">
    <w:name w:val="footnote reference"/>
    <w:basedOn w:val="DefaultParagraphFont"/>
    <w:uiPriority w:val="99"/>
    <w:rsid w:val="00E234A8"/>
    <w:rPr>
      <w:vertAlign w:val="superscript"/>
    </w:rPr>
  </w:style>
  <w:style w:type="table" w:styleId="TableGrid">
    <w:name w:val="Table Grid"/>
    <w:basedOn w:val="TableNormal"/>
    <w:uiPriority w:val="59"/>
    <w:rsid w:val="00ED2D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F7EBF"/>
    <w:rPr>
      <w:color w:val="0000FF"/>
      <w:u w:val="single"/>
    </w:rPr>
  </w:style>
  <w:style w:type="paragraph" w:styleId="Header">
    <w:name w:val="header"/>
    <w:basedOn w:val="Normal"/>
    <w:link w:val="HeaderChar"/>
    <w:uiPriority w:val="99"/>
    <w:semiHidden/>
    <w:unhideWhenUsed/>
    <w:rsid w:val="00392E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2E3F"/>
    <w:rPr>
      <w:sz w:val="22"/>
      <w:szCs w:val="22"/>
      <w:lang w:eastAsia="en-US"/>
    </w:rPr>
  </w:style>
  <w:style w:type="paragraph" w:styleId="Footer">
    <w:name w:val="footer"/>
    <w:basedOn w:val="Normal"/>
    <w:link w:val="FooterChar"/>
    <w:uiPriority w:val="99"/>
    <w:unhideWhenUsed/>
    <w:rsid w:val="00392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E3F"/>
    <w:rPr>
      <w:sz w:val="22"/>
      <w:szCs w:val="22"/>
      <w:lang w:eastAsia="en-US"/>
    </w:rPr>
  </w:style>
  <w:style w:type="character" w:customStyle="1" w:styleId="NoSpacingChar">
    <w:name w:val="No Spacing Char"/>
    <w:basedOn w:val="DefaultParagraphFont"/>
    <w:link w:val="NoSpacing"/>
    <w:uiPriority w:val="1"/>
    <w:rsid w:val="00035689"/>
    <w:rPr>
      <w:sz w:val="22"/>
      <w:szCs w:val="22"/>
      <w:lang w:eastAsia="en-US"/>
    </w:rPr>
  </w:style>
  <w:style w:type="character" w:styleId="PlaceholderText">
    <w:name w:val="Placeholder Text"/>
    <w:basedOn w:val="DefaultParagraphFont"/>
    <w:uiPriority w:val="99"/>
    <w:semiHidden/>
    <w:rsid w:val="00ED6CD3"/>
    <w:rPr>
      <w:color w:val="808080"/>
    </w:rPr>
  </w:style>
  <w:style w:type="paragraph" w:styleId="BodyTextIndent">
    <w:name w:val="Body Text Indent"/>
    <w:basedOn w:val="Normal"/>
    <w:link w:val="BodyTextIndentChar"/>
    <w:uiPriority w:val="99"/>
    <w:rsid w:val="00E508E8"/>
    <w:pPr>
      <w:spacing w:after="0" w:line="480" w:lineRule="auto"/>
      <w:ind w:left="720" w:firstLine="72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uiPriority w:val="99"/>
    <w:rsid w:val="00E508E8"/>
    <w:rPr>
      <w:rFonts w:ascii="Times New Roman" w:eastAsia="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i.go.i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hyperlink" Target="http://www.yahoo.finance.com" TargetMode="Externa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mailto:aching_lo@yahoo.com" TargetMode="External"/><Relationship Id="rId14" Type="http://schemas.openxmlformats.org/officeDocument/2006/relationships/oleObject" Target="embeddings/oleObject2.bin"/></Relationships>
</file>

<file path=word/charts/_rels/chart1.xml.rels><?xml version="1.0" encoding="UTF-8" standalone="yes"?>
<Relationships xmlns="http://schemas.openxmlformats.org/package/2006/relationships"><Relationship Id="rId1" Type="http://schemas.openxmlformats.org/officeDocument/2006/relationships/oleObject" Target="file:///E:\kapitalisasi%20saham%20syariah%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0"/>
              <a:t>Kapitalisasi Saham JII (Rp.</a:t>
            </a:r>
            <a:r>
              <a:rPr lang="en-US" sz="1200" b="0" baseline="0"/>
              <a:t> Triliun)</a:t>
            </a:r>
            <a:endParaRPr lang="en-US" sz="1200" b="0"/>
          </a:p>
        </c:rich>
      </c:tx>
    </c:title>
    <c:plotArea>
      <c:layout/>
      <c:lineChart>
        <c:grouping val="standard"/>
        <c:ser>
          <c:idx val="0"/>
          <c:order val="0"/>
          <c:tx>
            <c:strRef>
              <c:f>Sheet5!$B$1</c:f>
              <c:strCache>
                <c:ptCount val="1"/>
                <c:pt idx="0">
                  <c:v>JII</c:v>
                </c:pt>
              </c:strCache>
            </c:strRef>
          </c:tx>
          <c:marker>
            <c:symbol val="none"/>
          </c:marker>
          <c:dLbls>
            <c:dLblPos val="ctr"/>
            <c:showVal val="1"/>
          </c:dLbls>
          <c:cat>
            <c:numRef>
              <c:f>Sheet5!$A$2:$A$6</c:f>
              <c:numCache>
                <c:formatCode>General</c:formatCode>
                <c:ptCount val="5"/>
                <c:pt idx="0">
                  <c:v>2008</c:v>
                </c:pt>
                <c:pt idx="1">
                  <c:v>2009</c:v>
                </c:pt>
                <c:pt idx="2">
                  <c:v>2010</c:v>
                </c:pt>
                <c:pt idx="3">
                  <c:v>2011</c:v>
                </c:pt>
                <c:pt idx="4">
                  <c:v>2012</c:v>
                </c:pt>
              </c:numCache>
            </c:numRef>
          </c:cat>
          <c:val>
            <c:numRef>
              <c:f>Sheet5!$B$2:$B$6</c:f>
              <c:numCache>
                <c:formatCode>General</c:formatCode>
                <c:ptCount val="5"/>
                <c:pt idx="0">
                  <c:v>429</c:v>
                </c:pt>
                <c:pt idx="1">
                  <c:v>938</c:v>
                </c:pt>
                <c:pt idx="2">
                  <c:v>1135</c:v>
                </c:pt>
                <c:pt idx="3">
                  <c:v>1415</c:v>
                </c:pt>
                <c:pt idx="4">
                  <c:v>1671</c:v>
                </c:pt>
              </c:numCache>
            </c:numRef>
          </c:val>
        </c:ser>
        <c:dLbls>
          <c:showVal val="1"/>
        </c:dLbls>
        <c:marker val="1"/>
        <c:axId val="132658688"/>
        <c:axId val="132660224"/>
      </c:lineChart>
      <c:catAx>
        <c:axId val="132658688"/>
        <c:scaling>
          <c:orientation val="minMax"/>
        </c:scaling>
        <c:axPos val="b"/>
        <c:numFmt formatCode="General" sourceLinked="1"/>
        <c:majorTickMark val="none"/>
        <c:tickLblPos val="nextTo"/>
        <c:spPr>
          <a:ln w="9525">
            <a:noFill/>
          </a:ln>
        </c:spPr>
        <c:crossAx val="132660224"/>
        <c:crosses val="autoZero"/>
        <c:auto val="1"/>
        <c:lblAlgn val="ctr"/>
        <c:lblOffset val="100"/>
      </c:catAx>
      <c:valAx>
        <c:axId val="132660224"/>
        <c:scaling>
          <c:orientation val="minMax"/>
        </c:scaling>
        <c:delete val="1"/>
        <c:axPos val="l"/>
        <c:numFmt formatCode="General" sourceLinked="1"/>
        <c:tickLblPos val="none"/>
        <c:crossAx val="132658688"/>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15</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Statistics</Company>
  <LinksUpToDate>false</LinksUpToDate>
  <CharactersWithSpaces>20674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 Farhan Qudratullah</dc:creator>
  <cp:lastModifiedBy>MzF</cp:lastModifiedBy>
  <cp:revision>4</cp:revision>
  <cp:lastPrinted>2013-04-10T16:46:00Z</cp:lastPrinted>
  <dcterms:created xsi:type="dcterms:W3CDTF">2013-11-16T07:35:00Z</dcterms:created>
  <dcterms:modified xsi:type="dcterms:W3CDTF">2013-11-16T09:03:00Z</dcterms:modified>
</cp:coreProperties>
</file>