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EED" w:rsidRDefault="00610EED" w:rsidP="00610EED"/>
    <w:p w:rsidR="0083765F" w:rsidRDefault="0083765F" w:rsidP="00610EED">
      <w:bookmarkStart w:id="0" w:name="_GoBack"/>
      <w:bookmarkEnd w:id="0"/>
    </w:p>
    <w:p w:rsidR="00610EED" w:rsidRDefault="00610EED" w:rsidP="00610EED">
      <w:pPr>
        <w:jc w:val="center"/>
        <w:rPr>
          <w:rFonts w:ascii="Trebuchet MS" w:hAnsi="Trebuchet MS"/>
          <w:b/>
          <w:bCs/>
          <w:sz w:val="24"/>
          <w:szCs w:val="24"/>
        </w:rPr>
      </w:pPr>
      <w:r>
        <w:rPr>
          <w:rFonts w:ascii="Trebuchet MS" w:hAnsi="Trebuchet MS"/>
          <w:b/>
          <w:bCs/>
          <w:sz w:val="24"/>
          <w:szCs w:val="24"/>
        </w:rPr>
        <w:t>BAB I</w:t>
      </w:r>
    </w:p>
    <w:p w:rsidR="00610EED" w:rsidRDefault="00610EED" w:rsidP="00610EED">
      <w:pPr>
        <w:jc w:val="center"/>
        <w:rPr>
          <w:rFonts w:ascii="Trebuchet MS" w:hAnsi="Trebuchet MS"/>
          <w:b/>
          <w:bCs/>
          <w:sz w:val="24"/>
          <w:szCs w:val="24"/>
        </w:rPr>
      </w:pPr>
    </w:p>
    <w:p w:rsidR="00610EED" w:rsidRDefault="00610EED" w:rsidP="00A40CC3">
      <w:pPr>
        <w:spacing w:line="240" w:lineRule="auto"/>
        <w:jc w:val="center"/>
        <w:rPr>
          <w:rFonts w:ascii="Trebuchet MS" w:hAnsi="Trebuchet MS"/>
          <w:b/>
          <w:bCs/>
          <w:sz w:val="24"/>
          <w:szCs w:val="24"/>
        </w:rPr>
      </w:pPr>
      <w:r>
        <w:rPr>
          <w:rFonts w:ascii="Trebuchet MS" w:hAnsi="Trebuchet MS"/>
          <w:b/>
          <w:bCs/>
          <w:sz w:val="24"/>
          <w:szCs w:val="24"/>
        </w:rPr>
        <w:t>ISLAM HUMANIS DAN HUMANISASI PENDIDIKAN</w:t>
      </w:r>
    </w:p>
    <w:p w:rsidR="000F2145" w:rsidRDefault="00610EED" w:rsidP="00A40CC3">
      <w:pPr>
        <w:spacing w:line="240" w:lineRule="auto"/>
        <w:jc w:val="center"/>
        <w:rPr>
          <w:rFonts w:ascii="Trebuchet MS" w:hAnsi="Trebuchet MS"/>
          <w:b/>
          <w:bCs/>
          <w:sz w:val="24"/>
          <w:szCs w:val="24"/>
        </w:rPr>
      </w:pPr>
      <w:r>
        <w:rPr>
          <w:rFonts w:ascii="Trebuchet MS" w:hAnsi="Trebuchet MS"/>
          <w:b/>
          <w:bCs/>
          <w:sz w:val="24"/>
          <w:szCs w:val="24"/>
        </w:rPr>
        <w:t xml:space="preserve">Refleksi atas </w:t>
      </w:r>
      <w:r w:rsidRPr="00F47BE1">
        <w:rPr>
          <w:rFonts w:ascii="Trebuchet MS" w:hAnsi="Trebuchet MS"/>
          <w:b/>
          <w:bCs/>
          <w:i/>
          <w:iCs/>
          <w:sz w:val="24"/>
          <w:szCs w:val="24"/>
        </w:rPr>
        <w:t>Kebebasan Beragama</w:t>
      </w:r>
      <w:r>
        <w:rPr>
          <w:rFonts w:ascii="Trebuchet MS" w:hAnsi="Trebuchet MS"/>
          <w:b/>
          <w:bCs/>
          <w:sz w:val="24"/>
          <w:szCs w:val="24"/>
        </w:rPr>
        <w:t xml:space="preserve"> Karya al-‘Ulwâni</w:t>
      </w:r>
      <w:r w:rsidR="000F2145" w:rsidRPr="000F2145">
        <w:rPr>
          <w:rFonts w:ascii="Trebuchet MS" w:hAnsi="Trebuchet MS"/>
          <w:b/>
          <w:bCs/>
          <w:sz w:val="24"/>
          <w:szCs w:val="24"/>
        </w:rPr>
        <w:t xml:space="preserve"> </w:t>
      </w:r>
    </w:p>
    <w:p w:rsidR="00610EED" w:rsidRPr="000F2145" w:rsidRDefault="000F2145" w:rsidP="00A40CC3">
      <w:pPr>
        <w:spacing w:line="240" w:lineRule="auto"/>
        <w:jc w:val="center"/>
        <w:rPr>
          <w:rFonts w:ascii="Trebuchet MS" w:hAnsi="Trebuchet MS"/>
          <w:b/>
          <w:bCs/>
          <w:sz w:val="24"/>
          <w:szCs w:val="24"/>
        </w:rPr>
      </w:pPr>
      <w:r w:rsidRPr="000F2145">
        <w:rPr>
          <w:rFonts w:ascii="Trebuchet MS" w:hAnsi="Trebuchet MS"/>
          <w:b/>
          <w:bCs/>
          <w:sz w:val="24"/>
          <w:szCs w:val="24"/>
        </w:rPr>
        <w:t>untuk Landasan Edukasi Anak</w:t>
      </w:r>
    </w:p>
    <w:p w:rsidR="00610EED" w:rsidRPr="00F96D0C" w:rsidRDefault="00610EED" w:rsidP="00610EED">
      <w:pPr>
        <w:jc w:val="center"/>
        <w:rPr>
          <w:rFonts w:ascii="Trebuchet MS" w:hAnsi="Trebuchet MS"/>
          <w:sz w:val="24"/>
          <w:szCs w:val="24"/>
        </w:rPr>
      </w:pPr>
    </w:p>
    <w:p w:rsidR="00610EED" w:rsidRDefault="00610EED" w:rsidP="00610EED">
      <w:pPr>
        <w:ind w:firstLine="0"/>
        <w:rPr>
          <w:rFonts w:ascii="Trebuchet MS" w:hAnsi="Trebuchet MS"/>
          <w:sz w:val="24"/>
          <w:szCs w:val="24"/>
        </w:rPr>
      </w:pPr>
    </w:p>
    <w:p w:rsidR="00610EED" w:rsidRPr="00527490" w:rsidRDefault="001C30F7" w:rsidP="00610EED">
      <w:pPr>
        <w:ind w:firstLine="0"/>
        <w:rPr>
          <w:rFonts w:ascii="Trebuchet MS" w:hAnsi="Trebuchet MS"/>
          <w:b/>
          <w:bCs/>
          <w:sz w:val="24"/>
          <w:szCs w:val="24"/>
        </w:rPr>
      </w:pPr>
      <w:r w:rsidRPr="001C30F7">
        <w:rPr>
          <w:rFonts w:ascii="Trebuchet MS" w:hAnsi="Trebuchet MS"/>
          <w:b/>
          <w:bCs/>
          <w:sz w:val="24"/>
          <w:szCs w:val="24"/>
        </w:rPr>
        <w:t xml:space="preserve">A. </w:t>
      </w:r>
      <w:r w:rsidR="00610EED">
        <w:rPr>
          <w:rFonts w:ascii="Trebuchet MS" w:hAnsi="Trebuchet MS"/>
          <w:b/>
          <w:bCs/>
          <w:sz w:val="24"/>
          <w:szCs w:val="24"/>
        </w:rPr>
        <w:t xml:space="preserve">Menggali Nilai yang “Terkubur”: </w:t>
      </w:r>
      <w:r w:rsidR="00610EED" w:rsidRPr="00527490">
        <w:rPr>
          <w:rFonts w:ascii="Trebuchet MS" w:hAnsi="Trebuchet MS"/>
          <w:b/>
          <w:bCs/>
          <w:sz w:val="24"/>
          <w:szCs w:val="24"/>
        </w:rPr>
        <w:t>Arti Penting Kebebasan Beragama</w:t>
      </w:r>
    </w:p>
    <w:p w:rsidR="00610EED" w:rsidRDefault="00610EED" w:rsidP="00610EED">
      <w:pPr>
        <w:spacing w:line="360" w:lineRule="auto"/>
        <w:rPr>
          <w:rFonts w:ascii="Trebuchet MS" w:hAnsi="Trebuchet MS"/>
          <w:sz w:val="24"/>
          <w:szCs w:val="24"/>
        </w:rPr>
      </w:pPr>
      <w:r w:rsidRPr="00F96D0C">
        <w:rPr>
          <w:rFonts w:ascii="Trebuchet MS" w:hAnsi="Trebuchet MS"/>
          <w:sz w:val="24"/>
          <w:szCs w:val="24"/>
        </w:rPr>
        <w:t xml:space="preserve">Selama ini, muncul tuduhan </w:t>
      </w:r>
      <w:r>
        <w:rPr>
          <w:rFonts w:ascii="Trebuchet MS" w:hAnsi="Trebuchet MS"/>
          <w:sz w:val="24"/>
          <w:szCs w:val="24"/>
        </w:rPr>
        <w:t xml:space="preserve">dari sebagian kalangan di Barat </w:t>
      </w:r>
      <w:r w:rsidRPr="00F96D0C">
        <w:rPr>
          <w:rFonts w:ascii="Trebuchet MS" w:hAnsi="Trebuchet MS"/>
          <w:sz w:val="24"/>
          <w:szCs w:val="24"/>
        </w:rPr>
        <w:t>bahwa Islam adalah agama anti HAM</w:t>
      </w:r>
      <w:r>
        <w:rPr>
          <w:rFonts w:ascii="Trebuchet MS" w:hAnsi="Trebuchet MS"/>
          <w:sz w:val="24"/>
          <w:szCs w:val="24"/>
        </w:rPr>
        <w:t xml:space="preserve"> dan sarang teroris</w:t>
      </w:r>
      <w:r w:rsidRPr="00F96D0C">
        <w:rPr>
          <w:rFonts w:ascii="Trebuchet MS" w:hAnsi="Trebuchet MS"/>
          <w:sz w:val="24"/>
          <w:szCs w:val="24"/>
        </w:rPr>
        <w:t xml:space="preserve">. Alasannya, Islam (baca: penganut Islam) membenarkan tindak kekerasan atasnama agama, baik terhadap penganut agama lain </w:t>
      </w:r>
      <w:r>
        <w:rPr>
          <w:rFonts w:ascii="Trebuchet MS" w:hAnsi="Trebuchet MS"/>
          <w:sz w:val="24"/>
          <w:szCs w:val="24"/>
        </w:rPr>
        <w:t>maupun</w:t>
      </w:r>
      <w:r w:rsidRPr="00F96D0C">
        <w:rPr>
          <w:rFonts w:ascii="Trebuchet MS" w:hAnsi="Trebuchet MS"/>
          <w:sz w:val="24"/>
          <w:szCs w:val="24"/>
        </w:rPr>
        <w:t xml:space="preserve"> terhadap penganut Islam sendiri yang telah dianggap</w:t>
      </w:r>
      <w:r>
        <w:rPr>
          <w:rFonts w:ascii="Trebuchet MS" w:hAnsi="Trebuchet MS"/>
          <w:sz w:val="24"/>
          <w:szCs w:val="24"/>
        </w:rPr>
        <w:t xml:space="preserve"> berpaham</w:t>
      </w:r>
      <w:r w:rsidRPr="00F96D0C">
        <w:rPr>
          <w:rFonts w:ascii="Trebuchet MS" w:hAnsi="Trebuchet MS"/>
          <w:sz w:val="24"/>
          <w:szCs w:val="24"/>
        </w:rPr>
        <w:t xml:space="preserve"> sesat dan menyimpang. Menganut sebuah agama </w:t>
      </w:r>
      <w:r>
        <w:rPr>
          <w:rFonts w:ascii="Trebuchet MS" w:hAnsi="Trebuchet MS"/>
          <w:sz w:val="24"/>
          <w:szCs w:val="24"/>
        </w:rPr>
        <w:t xml:space="preserve">pada dasarnya </w:t>
      </w:r>
      <w:r w:rsidRPr="00F96D0C">
        <w:rPr>
          <w:rFonts w:ascii="Trebuchet MS" w:hAnsi="Trebuchet MS"/>
          <w:sz w:val="24"/>
          <w:szCs w:val="24"/>
        </w:rPr>
        <w:t xml:space="preserve">adalah hak asasi setiap orang, sehingga tidak dibenarkan siapa pun melakukan campurtangan atau pemaksaan kehendak dalam masalah ini. Dengan tegas, al-Qur’an menyatakan “tidak ada paksaan untuk (memasuki) agama (Islam); sesungguhnya telah jelas jalan yang benar daripada jalan yang salah” (Qs. al-Baqarah [2]:256). Namun ajaran dasar al-Qur’an ini agaknya masih dilaksanakan setengah hati oleh umat Islam. Buktinya, mereka belum rela apabila ada umat Islam menganut paham yang dinilai sesat; mereka pun segera bertindak “atasnama Tuhan” untuk memaksa umat Islam tadi </w:t>
      </w:r>
      <w:r>
        <w:rPr>
          <w:rFonts w:ascii="Trebuchet MS" w:hAnsi="Trebuchet MS"/>
          <w:sz w:val="24"/>
          <w:szCs w:val="24"/>
        </w:rPr>
        <w:t xml:space="preserve">segera </w:t>
      </w:r>
      <w:r w:rsidRPr="00F96D0C">
        <w:rPr>
          <w:rFonts w:ascii="Trebuchet MS" w:hAnsi="Trebuchet MS"/>
          <w:sz w:val="24"/>
          <w:szCs w:val="24"/>
        </w:rPr>
        <w:t>kembali ke jalan yang benar, dan jika tidak mau, maka mereka akan me</w:t>
      </w:r>
      <w:r>
        <w:rPr>
          <w:rFonts w:ascii="Trebuchet MS" w:hAnsi="Trebuchet MS"/>
          <w:sz w:val="24"/>
          <w:szCs w:val="24"/>
        </w:rPr>
        <w:t>milih</w:t>
      </w:r>
      <w:r w:rsidRPr="00F96D0C">
        <w:rPr>
          <w:rFonts w:ascii="Trebuchet MS" w:hAnsi="Trebuchet MS"/>
          <w:sz w:val="24"/>
          <w:szCs w:val="24"/>
        </w:rPr>
        <w:t xml:space="preserve"> tindak kekerasan. Tak jarang, dakwah atau upaya amar makruf dan nahi munkar dilumuri oleh darah dan</w:t>
      </w:r>
      <w:r>
        <w:rPr>
          <w:rFonts w:ascii="Trebuchet MS" w:hAnsi="Trebuchet MS"/>
          <w:sz w:val="24"/>
          <w:szCs w:val="24"/>
        </w:rPr>
        <w:t xml:space="preserve"> dibasahi</w:t>
      </w:r>
      <w:r w:rsidRPr="00F96D0C">
        <w:rPr>
          <w:rFonts w:ascii="Trebuchet MS" w:hAnsi="Trebuchet MS"/>
          <w:sz w:val="24"/>
          <w:szCs w:val="24"/>
        </w:rPr>
        <w:t xml:space="preserve"> </w:t>
      </w:r>
      <w:r>
        <w:rPr>
          <w:rFonts w:ascii="Trebuchet MS" w:hAnsi="Trebuchet MS"/>
          <w:sz w:val="24"/>
          <w:szCs w:val="24"/>
        </w:rPr>
        <w:t xml:space="preserve">derai </w:t>
      </w:r>
      <w:r w:rsidRPr="00F96D0C">
        <w:rPr>
          <w:rFonts w:ascii="Trebuchet MS" w:hAnsi="Trebuchet MS"/>
          <w:sz w:val="24"/>
          <w:szCs w:val="24"/>
        </w:rPr>
        <w:t xml:space="preserve">air mata pihak-pihak yang </w:t>
      </w:r>
      <w:r>
        <w:rPr>
          <w:rFonts w:ascii="Trebuchet MS" w:hAnsi="Trebuchet MS"/>
          <w:sz w:val="24"/>
          <w:szCs w:val="24"/>
        </w:rPr>
        <w:t>menjadi korban tindak kekerasan</w:t>
      </w:r>
      <w:r w:rsidRPr="00F96D0C">
        <w:rPr>
          <w:rFonts w:ascii="Trebuchet MS" w:hAnsi="Trebuchet MS"/>
          <w:sz w:val="24"/>
          <w:szCs w:val="24"/>
        </w:rPr>
        <w:t>. Atas dasar i</w:t>
      </w:r>
      <w:r>
        <w:rPr>
          <w:rFonts w:ascii="Trebuchet MS" w:hAnsi="Trebuchet MS"/>
          <w:sz w:val="24"/>
          <w:szCs w:val="24"/>
        </w:rPr>
        <w:t>tu</w:t>
      </w:r>
      <w:r w:rsidRPr="00F96D0C">
        <w:rPr>
          <w:rFonts w:ascii="Trebuchet MS" w:hAnsi="Trebuchet MS"/>
          <w:sz w:val="24"/>
          <w:szCs w:val="24"/>
        </w:rPr>
        <w:t xml:space="preserve">, </w:t>
      </w:r>
      <w:r>
        <w:rPr>
          <w:rFonts w:ascii="Trebuchet MS" w:hAnsi="Trebuchet MS"/>
          <w:sz w:val="24"/>
          <w:szCs w:val="24"/>
        </w:rPr>
        <w:t xml:space="preserve">mungkin saja telinga kita merah mendengar tuduhan tersebut namun bagaimanapun </w:t>
      </w:r>
      <w:r w:rsidRPr="00F96D0C">
        <w:rPr>
          <w:rFonts w:ascii="Trebuchet MS" w:hAnsi="Trebuchet MS"/>
          <w:sz w:val="24"/>
          <w:szCs w:val="24"/>
        </w:rPr>
        <w:t>kita tidak bisa begitu saja menyalahkan</w:t>
      </w:r>
      <w:r>
        <w:rPr>
          <w:rFonts w:ascii="Trebuchet MS" w:hAnsi="Trebuchet MS"/>
          <w:sz w:val="24"/>
          <w:szCs w:val="24"/>
        </w:rPr>
        <w:t>nya.</w:t>
      </w:r>
      <w:r w:rsidRPr="00F96D0C">
        <w:rPr>
          <w:rFonts w:ascii="Trebuchet MS" w:hAnsi="Trebuchet MS"/>
          <w:sz w:val="24"/>
          <w:szCs w:val="24"/>
        </w:rPr>
        <w:t xml:space="preserve">  Tambah lagi dengan maraknya </w:t>
      </w:r>
      <w:r>
        <w:rPr>
          <w:rFonts w:ascii="Trebuchet MS" w:hAnsi="Trebuchet MS"/>
          <w:sz w:val="24"/>
          <w:szCs w:val="24"/>
        </w:rPr>
        <w:t xml:space="preserve">aksi teror dan </w:t>
      </w:r>
      <w:r w:rsidRPr="00F96D0C">
        <w:rPr>
          <w:rFonts w:ascii="Trebuchet MS" w:hAnsi="Trebuchet MS"/>
          <w:sz w:val="24"/>
          <w:szCs w:val="24"/>
        </w:rPr>
        <w:t>tindakan anarkhis “bernuansa agama” yang berlangsung di pelbagai daerah belakangan ini, semisal: Ambon, Poso, Cikeusik, Madura, Lampung, dan Lombok NTB</w:t>
      </w:r>
      <w:r>
        <w:rPr>
          <w:rFonts w:ascii="Trebuchet MS" w:hAnsi="Trebuchet MS"/>
          <w:sz w:val="24"/>
          <w:szCs w:val="24"/>
        </w:rPr>
        <w:t>, tuduhan tersebut seakan memperoleh penguat</w:t>
      </w:r>
      <w:r w:rsidRPr="00F96D0C">
        <w:rPr>
          <w:rFonts w:ascii="Trebuchet MS" w:hAnsi="Trebuchet MS"/>
          <w:sz w:val="24"/>
          <w:szCs w:val="24"/>
        </w:rPr>
        <w:t xml:space="preserve">. Sekelompok umat Islam melakukan penyerangan dan pembakaran harta benda, rumah, </w:t>
      </w:r>
      <w:r w:rsidRPr="00F96D0C">
        <w:rPr>
          <w:rFonts w:ascii="Trebuchet MS" w:hAnsi="Trebuchet MS"/>
          <w:sz w:val="24"/>
          <w:szCs w:val="24"/>
        </w:rPr>
        <w:lastRenderedPageBreak/>
        <w:t>dan tempat ibadah kelompok umat Islam yang lain. Salah satu pemicunya, kelompok umat Islam yang diserang dianggap telah mengikuti paham keagamaan yang menyimpang, sehingga perlu diluruskan secara paksa, diadili dan dihakimi. Tentu saja kenyataan ini memantik kesadaran kita, jika demikian benarkah keberagamaan kita sudah sejalan dengan ajaran Islam yang berlandaskan, meminjam istilah Prof. Thah</w:t>
      </w:r>
      <w:r w:rsidRPr="00F96D0C">
        <w:rPr>
          <w:rFonts w:ascii="Trebuchet MS" w:hAnsi="Trebuchet MS" w:cstheme="minorHAnsi"/>
          <w:sz w:val="24"/>
          <w:szCs w:val="24"/>
        </w:rPr>
        <w:t>â</w:t>
      </w:r>
      <w:r w:rsidRPr="00F96D0C">
        <w:rPr>
          <w:rFonts w:ascii="Trebuchet MS" w:hAnsi="Trebuchet MS"/>
          <w:sz w:val="24"/>
          <w:szCs w:val="24"/>
        </w:rPr>
        <w:t xml:space="preserve"> J</w:t>
      </w:r>
      <w:r w:rsidRPr="00F96D0C">
        <w:rPr>
          <w:rFonts w:ascii="Trebuchet MS" w:hAnsi="Trebuchet MS" w:cstheme="minorHAnsi"/>
          <w:sz w:val="24"/>
          <w:szCs w:val="24"/>
        </w:rPr>
        <w:t>â</w:t>
      </w:r>
      <w:r w:rsidRPr="00F96D0C">
        <w:rPr>
          <w:rFonts w:ascii="Trebuchet MS" w:hAnsi="Trebuchet MS"/>
          <w:sz w:val="24"/>
          <w:szCs w:val="24"/>
        </w:rPr>
        <w:t>bir al-‘Ulw</w:t>
      </w:r>
      <w:r w:rsidRPr="00F96D0C">
        <w:rPr>
          <w:rFonts w:ascii="Trebuchet MS" w:hAnsi="Trebuchet MS" w:cstheme="minorHAnsi"/>
          <w:sz w:val="24"/>
          <w:szCs w:val="24"/>
        </w:rPr>
        <w:t>â</w:t>
      </w:r>
      <w:r w:rsidRPr="00F96D0C">
        <w:rPr>
          <w:rFonts w:ascii="Trebuchet MS" w:hAnsi="Trebuchet MS"/>
          <w:sz w:val="24"/>
          <w:szCs w:val="24"/>
        </w:rPr>
        <w:t>n</w:t>
      </w:r>
      <w:r w:rsidRPr="00F96D0C">
        <w:rPr>
          <w:rFonts w:ascii="Trebuchet MS" w:hAnsi="Trebuchet MS" w:cstheme="minorHAnsi"/>
          <w:sz w:val="24"/>
          <w:szCs w:val="24"/>
        </w:rPr>
        <w:t>î</w:t>
      </w:r>
      <w:r w:rsidRPr="00F96D0C">
        <w:rPr>
          <w:rFonts w:ascii="Trebuchet MS" w:hAnsi="Trebuchet MS"/>
          <w:sz w:val="24"/>
          <w:szCs w:val="24"/>
        </w:rPr>
        <w:t xml:space="preserve">, pada prinsip </w:t>
      </w:r>
      <w:r w:rsidRPr="00F96D0C">
        <w:rPr>
          <w:rFonts w:ascii="Trebuchet MS" w:hAnsi="Trebuchet MS"/>
          <w:i/>
          <w:iCs/>
          <w:sz w:val="24"/>
          <w:szCs w:val="24"/>
        </w:rPr>
        <w:t>takhf</w:t>
      </w:r>
      <w:r w:rsidRPr="00F96D0C">
        <w:rPr>
          <w:rFonts w:ascii="Trebuchet MS" w:hAnsi="Trebuchet MS" w:cstheme="minorHAnsi"/>
          <w:i/>
          <w:iCs/>
          <w:sz w:val="24"/>
          <w:szCs w:val="24"/>
        </w:rPr>
        <w:t>î</w:t>
      </w:r>
      <w:r w:rsidRPr="00F96D0C">
        <w:rPr>
          <w:rFonts w:ascii="Trebuchet MS" w:hAnsi="Trebuchet MS"/>
          <w:i/>
          <w:iCs/>
          <w:sz w:val="24"/>
          <w:szCs w:val="24"/>
        </w:rPr>
        <w:t>f wa rahmah</w:t>
      </w:r>
      <w:r w:rsidRPr="00F96D0C">
        <w:rPr>
          <w:rFonts w:ascii="Trebuchet MS" w:hAnsi="Trebuchet MS"/>
          <w:sz w:val="24"/>
          <w:szCs w:val="24"/>
        </w:rPr>
        <w:t xml:space="preserve"> (memberi keringanan, kemudahan, dan kasih sayang).</w:t>
      </w:r>
    </w:p>
    <w:p w:rsidR="00610EED" w:rsidRPr="00F96D0C" w:rsidRDefault="00610EED" w:rsidP="00610EED">
      <w:pPr>
        <w:rPr>
          <w:rFonts w:ascii="Trebuchet MS" w:hAnsi="Trebuchet MS"/>
          <w:sz w:val="24"/>
          <w:szCs w:val="24"/>
        </w:rPr>
      </w:pPr>
      <w:r>
        <w:rPr>
          <w:rFonts w:ascii="Trebuchet MS" w:hAnsi="Trebuchet MS"/>
          <w:sz w:val="24"/>
          <w:szCs w:val="24"/>
        </w:rPr>
        <w:t>Seakan ingin mengkonter tuduhan dari sebagian kalangan di Barat, Dr. Zaenab Abdus Salâm Abu al-Fadl secara elaboratif menguraikan pandangannya bahwa al-Qur’an itu pro HAM.</w:t>
      </w:r>
      <w:r>
        <w:rPr>
          <w:rStyle w:val="FootnoteReference"/>
          <w:rFonts w:ascii="Trebuchet MS" w:hAnsi="Trebuchet MS"/>
          <w:sz w:val="24"/>
          <w:szCs w:val="24"/>
        </w:rPr>
        <w:footnoteReference w:id="1"/>
      </w:r>
      <w:r>
        <w:rPr>
          <w:rFonts w:ascii="Trebuchet MS" w:hAnsi="Trebuchet MS"/>
          <w:sz w:val="24"/>
          <w:szCs w:val="24"/>
        </w:rPr>
        <w:t xml:space="preserve"> Sejalan dengan al-‘Ulwani, menurut Dr. Zaenab, hukuman mati bagi orang yang murtad bukanlah hukuman yang bersifat tetap dan final. Sebab, kendati dianggap menyalahi konsensus, kenyataannya ada juga ahli fiqih klasik yang berpendapat lain, yakni Imam al-Nakha’i. Bagi al-Nakha’i, orang yang murtad hanya dikenai “sanksi” diminta untuk bertaubat kembali ke Islam.</w:t>
      </w:r>
      <w:r>
        <w:rPr>
          <w:rStyle w:val="FootnoteReference"/>
          <w:rFonts w:ascii="Trebuchet MS" w:hAnsi="Trebuchet MS"/>
          <w:sz w:val="24"/>
          <w:szCs w:val="24"/>
        </w:rPr>
        <w:footnoteReference w:id="2"/>
      </w:r>
      <w:r>
        <w:rPr>
          <w:rFonts w:ascii="Trebuchet MS" w:hAnsi="Trebuchet MS"/>
          <w:sz w:val="24"/>
          <w:szCs w:val="24"/>
        </w:rPr>
        <w:t xml:space="preserve"> Dalam kaitan ini dengan tegas al-‘Ulwani mengatakan, tidak ditemukan argumen satupun dalam al-Qur’an yang membenarkan dijatuhkannya hukuman duniawi (fisik) terhadap orang yang murtad. Al-Qur’an hanya mengungkapkan hukuman ukhrawi yang sepenuhnya menjadi hak prerogatif Tuhan kelak di akhirat. Tentu saja, manusia tidak boleh mengambil alih hak itu dan kemudian bertindak atasnama Tuhan untuk menghukum orang yang dinilai murtad.</w:t>
      </w:r>
    </w:p>
    <w:p w:rsidR="00610EED" w:rsidRPr="00F96D0C" w:rsidRDefault="00610EED" w:rsidP="00610EED">
      <w:pPr>
        <w:spacing w:line="360" w:lineRule="auto"/>
        <w:rPr>
          <w:rFonts w:ascii="Trebuchet MS" w:hAnsi="Trebuchet MS"/>
          <w:sz w:val="24"/>
          <w:szCs w:val="24"/>
        </w:rPr>
      </w:pPr>
      <w:r w:rsidRPr="00F96D0C">
        <w:rPr>
          <w:rFonts w:ascii="Trebuchet MS" w:hAnsi="Trebuchet MS"/>
          <w:sz w:val="24"/>
          <w:szCs w:val="24"/>
        </w:rPr>
        <w:t>Ajaran dasar al-Qur’an mengenai kebebasan beragama seakan terciderai oleh ketetapan hukuman mati bagi orang yang keluar dari Islam (murtad). Terlebih lagi acapkali ketetapan hukuman mati disalahgunakan oleh pemegang kekuasaan untuk menyingkirkan lawan-lawan politik</w:t>
      </w:r>
      <w:r>
        <w:rPr>
          <w:rFonts w:ascii="Trebuchet MS" w:hAnsi="Trebuchet MS"/>
          <w:sz w:val="24"/>
          <w:szCs w:val="24"/>
        </w:rPr>
        <w:t>, atau vonis murtad dijatuhkan secara “semena-mena” untuk membungkam nalar kritis dalam beragama</w:t>
      </w:r>
      <w:r w:rsidRPr="00F96D0C">
        <w:rPr>
          <w:rFonts w:ascii="Trebuchet MS" w:hAnsi="Trebuchet MS"/>
          <w:sz w:val="24"/>
          <w:szCs w:val="24"/>
        </w:rPr>
        <w:t xml:space="preserve">. Di sini, dengan ketetapan semacam itu argumen agama rawan dijadikan sebagai kedok meraih ambisi politik dan mengubah </w:t>
      </w:r>
      <w:r w:rsidRPr="00F96D0C">
        <w:rPr>
          <w:rFonts w:ascii="Trebuchet MS" w:hAnsi="Trebuchet MS"/>
          <w:sz w:val="24"/>
          <w:szCs w:val="24"/>
        </w:rPr>
        <w:lastRenderedPageBreak/>
        <w:t>persepsi publik dari mengutuk tindak kekerasan menjadi “membenarkannya” karena diyakini sebagai wujud penunaian misi suci agama. Anehnya, menurut al-‘Ulw</w:t>
      </w:r>
      <w:r w:rsidRPr="00F96D0C">
        <w:rPr>
          <w:rFonts w:ascii="Trebuchet MS" w:hAnsi="Trebuchet MS" w:cstheme="minorHAnsi"/>
          <w:sz w:val="24"/>
          <w:szCs w:val="24"/>
        </w:rPr>
        <w:t>â</w:t>
      </w:r>
      <w:r w:rsidRPr="00F96D0C">
        <w:rPr>
          <w:rFonts w:ascii="Trebuchet MS" w:hAnsi="Trebuchet MS"/>
          <w:sz w:val="24"/>
          <w:szCs w:val="24"/>
        </w:rPr>
        <w:t>ni, para pembaharu Muslim enggan mempersoalkan ketetapan hukuman mati tersebut dan menilainya sudah menjadi kesepakatan ulama yang tidak bisa diganggu gugat</w:t>
      </w:r>
      <w:r>
        <w:rPr>
          <w:rFonts w:ascii="Trebuchet MS" w:hAnsi="Trebuchet MS"/>
          <w:sz w:val="24"/>
          <w:szCs w:val="24"/>
        </w:rPr>
        <w:t xml:space="preserve"> dan bersifat final</w:t>
      </w:r>
      <w:r w:rsidRPr="00F96D0C">
        <w:rPr>
          <w:rFonts w:ascii="Trebuchet MS" w:hAnsi="Trebuchet MS"/>
          <w:sz w:val="24"/>
          <w:szCs w:val="24"/>
        </w:rPr>
        <w:t>. Padahal ketetapan hukuman mati bagi orang yang murtad selain bertentangan dengan ajaran dasar al-Qur’an menyangkut kebebasan beragama, juga menyimpan potensi pembenaran terhadap tindak kekerasan atasnama agama.</w:t>
      </w:r>
      <w:r w:rsidRPr="00F96D0C">
        <w:rPr>
          <w:rStyle w:val="FootnoteReference"/>
          <w:rFonts w:ascii="Trebuchet MS" w:hAnsi="Trebuchet MS"/>
          <w:sz w:val="24"/>
          <w:szCs w:val="24"/>
        </w:rPr>
        <w:footnoteReference w:id="3"/>
      </w:r>
      <w:r w:rsidRPr="00F96D0C">
        <w:rPr>
          <w:rFonts w:ascii="Trebuchet MS" w:hAnsi="Trebuchet MS"/>
          <w:sz w:val="24"/>
          <w:szCs w:val="24"/>
        </w:rPr>
        <w:t xml:space="preserve"> Ajaran dasar al-Qur’an menyangkut kebebasan beragama adalah bagian dari prinsip tetap (</w:t>
      </w:r>
      <w:r w:rsidRPr="00F96D0C">
        <w:rPr>
          <w:rFonts w:ascii="Trebuchet MS" w:hAnsi="Trebuchet MS"/>
          <w:i/>
          <w:iCs/>
          <w:sz w:val="24"/>
          <w:szCs w:val="24"/>
        </w:rPr>
        <w:t>al-tsaw</w:t>
      </w:r>
      <w:r w:rsidRPr="00F96D0C">
        <w:rPr>
          <w:rFonts w:ascii="Trebuchet MS" w:hAnsi="Trebuchet MS" w:cstheme="minorHAnsi"/>
          <w:i/>
          <w:iCs/>
          <w:sz w:val="24"/>
          <w:szCs w:val="24"/>
        </w:rPr>
        <w:t>â</w:t>
      </w:r>
      <w:r w:rsidRPr="00F96D0C">
        <w:rPr>
          <w:rFonts w:ascii="Trebuchet MS" w:hAnsi="Trebuchet MS"/>
          <w:i/>
          <w:iCs/>
          <w:sz w:val="24"/>
          <w:szCs w:val="24"/>
        </w:rPr>
        <w:t>bit</w:t>
      </w:r>
      <w:r w:rsidRPr="00F96D0C">
        <w:rPr>
          <w:rFonts w:ascii="Trebuchet MS" w:hAnsi="Trebuchet MS"/>
          <w:sz w:val="24"/>
          <w:szCs w:val="24"/>
        </w:rPr>
        <w:t>) yang berlaku kapan pun dan dimana pun, sedangkan hukuman mati bagi orang yang murtad adalah bagian dari ketetapan yang bisa berubah (</w:t>
      </w:r>
      <w:r w:rsidRPr="00F96D0C">
        <w:rPr>
          <w:rFonts w:ascii="Trebuchet MS" w:hAnsi="Trebuchet MS"/>
          <w:i/>
          <w:iCs/>
          <w:sz w:val="24"/>
          <w:szCs w:val="24"/>
        </w:rPr>
        <w:t>al-mutaghayyir</w:t>
      </w:r>
      <w:r w:rsidRPr="00F96D0C">
        <w:rPr>
          <w:rFonts w:ascii="Trebuchet MS" w:hAnsi="Trebuchet MS" w:cstheme="minorHAnsi"/>
          <w:i/>
          <w:iCs/>
          <w:sz w:val="24"/>
          <w:szCs w:val="24"/>
        </w:rPr>
        <w:t>â</w:t>
      </w:r>
      <w:r w:rsidRPr="00F96D0C">
        <w:rPr>
          <w:rFonts w:ascii="Trebuchet MS" w:hAnsi="Trebuchet MS"/>
          <w:i/>
          <w:iCs/>
          <w:sz w:val="24"/>
          <w:szCs w:val="24"/>
        </w:rPr>
        <w:t>t</w:t>
      </w:r>
      <w:r w:rsidRPr="00F96D0C">
        <w:rPr>
          <w:rFonts w:ascii="Trebuchet MS" w:hAnsi="Trebuchet MS"/>
          <w:sz w:val="24"/>
          <w:szCs w:val="24"/>
        </w:rPr>
        <w:t>), sehingga seharusnya kita mengembalikan ketetapan yang bisa berubah ke “pangkuan” prinsip tetap. Penyimpangan-penyimpangan dalam penerapan ketetapan yang bisa berubah merupakan alasan hukum yang mengharuskan kita kembali ke prinsip tetap.</w:t>
      </w:r>
      <w:r w:rsidRPr="00F96D0C">
        <w:rPr>
          <w:rStyle w:val="FootnoteReference"/>
          <w:rFonts w:ascii="Trebuchet MS" w:hAnsi="Trebuchet MS"/>
          <w:sz w:val="24"/>
          <w:szCs w:val="24"/>
        </w:rPr>
        <w:footnoteReference w:id="4"/>
      </w:r>
      <w:r w:rsidRPr="00F96D0C">
        <w:rPr>
          <w:rFonts w:ascii="Trebuchet MS" w:hAnsi="Trebuchet MS"/>
          <w:sz w:val="24"/>
          <w:szCs w:val="24"/>
        </w:rPr>
        <w:t xml:space="preserve"> Sayangnya, tidak sedikit ulama yang nampak </w:t>
      </w:r>
      <w:r w:rsidRPr="00F96D0C">
        <w:rPr>
          <w:rFonts w:ascii="Trebuchet MS" w:hAnsi="Trebuchet MS"/>
          <w:i/>
          <w:iCs/>
          <w:sz w:val="24"/>
          <w:szCs w:val="24"/>
        </w:rPr>
        <w:t>ngotot</w:t>
      </w:r>
      <w:r w:rsidRPr="00F96D0C">
        <w:rPr>
          <w:rFonts w:ascii="Trebuchet MS" w:hAnsi="Trebuchet MS"/>
          <w:sz w:val="24"/>
          <w:szCs w:val="24"/>
        </w:rPr>
        <w:t xml:space="preserve"> mempertahankan ketetapan yang bisa berubah dan mengalahkan prinsip tetap, dengan menganggap ajaran al-Qur’an menyangkut kebebasan beragama telah dianulir (dihapuskan), karena itu pemaksaan dibolehkan dalam agama.</w:t>
      </w:r>
      <w:r w:rsidRPr="00F96D0C">
        <w:rPr>
          <w:rStyle w:val="FootnoteReference"/>
          <w:rFonts w:ascii="Trebuchet MS" w:hAnsi="Trebuchet MS"/>
          <w:sz w:val="24"/>
          <w:szCs w:val="24"/>
        </w:rPr>
        <w:footnoteReference w:id="5"/>
      </w:r>
    </w:p>
    <w:p w:rsidR="00610EED" w:rsidRDefault="00610EED" w:rsidP="00610EED">
      <w:pPr>
        <w:spacing w:line="360" w:lineRule="auto"/>
        <w:rPr>
          <w:rFonts w:ascii="Trebuchet MS" w:hAnsi="Trebuchet MS" w:cstheme="minorHAnsi"/>
          <w:sz w:val="24"/>
          <w:szCs w:val="24"/>
        </w:rPr>
      </w:pPr>
      <w:r w:rsidRPr="00F96D0C">
        <w:rPr>
          <w:rFonts w:ascii="Trebuchet MS" w:hAnsi="Trebuchet MS"/>
          <w:sz w:val="24"/>
          <w:szCs w:val="24"/>
        </w:rPr>
        <w:t xml:space="preserve">Jika ditelisik dengan perspektif Prof. </w:t>
      </w:r>
      <w:r>
        <w:rPr>
          <w:rFonts w:ascii="Trebuchet MS" w:hAnsi="Trebuchet MS"/>
          <w:sz w:val="24"/>
          <w:szCs w:val="24"/>
        </w:rPr>
        <w:t xml:space="preserve">Sa’id </w:t>
      </w:r>
      <w:r w:rsidRPr="00F96D0C">
        <w:rPr>
          <w:rFonts w:ascii="Trebuchet MS" w:hAnsi="Trebuchet MS"/>
          <w:sz w:val="24"/>
          <w:szCs w:val="24"/>
        </w:rPr>
        <w:t>Al-‘</w:t>
      </w:r>
      <w:r>
        <w:rPr>
          <w:rFonts w:ascii="Trebuchet MS" w:hAnsi="Trebuchet MS"/>
          <w:sz w:val="24"/>
          <w:szCs w:val="24"/>
        </w:rPr>
        <w:t>A</w:t>
      </w:r>
      <w:r w:rsidRPr="00F96D0C">
        <w:rPr>
          <w:rFonts w:ascii="Trebuchet MS" w:hAnsi="Trebuchet MS"/>
          <w:sz w:val="24"/>
          <w:szCs w:val="24"/>
        </w:rPr>
        <w:t>symawi, maka kecenderungan menganulir ajaran dasar mengenai kebebasan beragama amat mungkin dilatarbelakangi oleh terjadinya pergeseran akidah menuju ke ideologi di kalangan umat Islam. Hal ini setidaknya diindikasikan dengan kuatnya orientasi politis (kekuasaan), absolutis, dan totalistik dalam beragama.</w:t>
      </w:r>
      <w:r w:rsidRPr="00F96D0C">
        <w:rPr>
          <w:rStyle w:val="FootnoteReference"/>
          <w:rFonts w:ascii="Trebuchet MS" w:hAnsi="Trebuchet MS"/>
          <w:sz w:val="24"/>
          <w:szCs w:val="24"/>
        </w:rPr>
        <w:footnoteReference w:id="6"/>
      </w:r>
      <w:r w:rsidRPr="00F96D0C">
        <w:rPr>
          <w:rFonts w:ascii="Trebuchet MS" w:hAnsi="Trebuchet MS"/>
          <w:sz w:val="24"/>
          <w:szCs w:val="24"/>
        </w:rPr>
        <w:t xml:space="preserve"> Akibatnya, umat Islam mudah menganggap orang yang keluar dari Islam menjadi ancaman bagi “kedaulatan” mereka, menjadi musuh mereka; tidak mentolerir seorang pun keluar dari keyakinan yang mereka anut </w:t>
      </w:r>
      <w:r>
        <w:rPr>
          <w:rFonts w:ascii="Trebuchet MS" w:hAnsi="Trebuchet MS"/>
          <w:sz w:val="24"/>
          <w:szCs w:val="24"/>
        </w:rPr>
        <w:t>karena</w:t>
      </w:r>
      <w:r w:rsidRPr="00F96D0C">
        <w:rPr>
          <w:rFonts w:ascii="Trebuchet MS" w:hAnsi="Trebuchet MS"/>
          <w:sz w:val="24"/>
          <w:szCs w:val="24"/>
        </w:rPr>
        <w:t xml:space="preserve"> melihatnya sebagai suatu bentuk “pengkhianatan”; tidak mengakui adanya </w:t>
      </w:r>
      <w:r w:rsidRPr="00F96D0C">
        <w:rPr>
          <w:rFonts w:ascii="Trebuchet MS" w:hAnsi="Trebuchet MS"/>
          <w:sz w:val="24"/>
          <w:szCs w:val="24"/>
        </w:rPr>
        <w:lastRenderedPageBreak/>
        <w:t>kebenaran dan keselamatan sedikit pun di luar keyakinan mereka. Mereka selalu menganggap murtad orang yang berakidah (berkeyakinan) lain dan melegalkan hukuman mati bagi orang tersebut.</w:t>
      </w:r>
      <w:r w:rsidRPr="00F96D0C">
        <w:rPr>
          <w:rStyle w:val="FootnoteReference"/>
          <w:rFonts w:ascii="Trebuchet MS" w:hAnsi="Trebuchet MS"/>
          <w:sz w:val="24"/>
          <w:szCs w:val="24"/>
        </w:rPr>
        <w:footnoteReference w:id="7"/>
      </w:r>
      <w:r w:rsidRPr="00F96D0C">
        <w:rPr>
          <w:rFonts w:ascii="Trebuchet MS" w:hAnsi="Trebuchet MS"/>
          <w:sz w:val="24"/>
          <w:szCs w:val="24"/>
        </w:rPr>
        <w:t xml:space="preserve"> Dalam sejarahnya, keberagamaan ideologis telah mengubur semangat ajaran Islam yang berlandaskan pada prinsip </w:t>
      </w:r>
      <w:r w:rsidRPr="00F96D0C">
        <w:rPr>
          <w:rFonts w:ascii="Trebuchet MS" w:hAnsi="Trebuchet MS"/>
          <w:i/>
          <w:iCs/>
          <w:sz w:val="24"/>
          <w:szCs w:val="24"/>
        </w:rPr>
        <w:t>takhf</w:t>
      </w:r>
      <w:r w:rsidRPr="00F96D0C">
        <w:rPr>
          <w:rFonts w:ascii="Trebuchet MS" w:hAnsi="Trebuchet MS" w:cstheme="minorHAnsi"/>
          <w:i/>
          <w:iCs/>
          <w:sz w:val="24"/>
          <w:szCs w:val="24"/>
        </w:rPr>
        <w:t>î</w:t>
      </w:r>
      <w:r w:rsidRPr="00F96D0C">
        <w:rPr>
          <w:rFonts w:ascii="Trebuchet MS" w:hAnsi="Trebuchet MS"/>
          <w:i/>
          <w:iCs/>
          <w:sz w:val="24"/>
          <w:szCs w:val="24"/>
        </w:rPr>
        <w:t>f wa rahmah</w:t>
      </w:r>
      <w:r w:rsidRPr="00F96D0C">
        <w:rPr>
          <w:rFonts w:ascii="Trebuchet MS" w:hAnsi="Trebuchet MS"/>
          <w:sz w:val="24"/>
          <w:szCs w:val="24"/>
        </w:rPr>
        <w:t>, digantikan dengan prinsip “membebani, memberatkan, dan membelenggu”, dan begitu gampangnya perbedaan melahirkan aneka pertikaian. Di samping faktor internal, sebagaimana diafirmasi analisis al-Bann</w:t>
      </w:r>
      <w:r w:rsidRPr="00F96D0C">
        <w:rPr>
          <w:rFonts w:ascii="Trebuchet MS" w:hAnsi="Trebuchet MS" w:cstheme="minorHAnsi"/>
          <w:sz w:val="24"/>
          <w:szCs w:val="24"/>
        </w:rPr>
        <w:t>â dan al-‘</w:t>
      </w:r>
      <w:r>
        <w:rPr>
          <w:rFonts w:ascii="Trebuchet MS" w:hAnsi="Trebuchet MS" w:cstheme="minorHAnsi"/>
          <w:sz w:val="24"/>
          <w:szCs w:val="24"/>
        </w:rPr>
        <w:t>A</w:t>
      </w:r>
      <w:r w:rsidRPr="00F96D0C">
        <w:rPr>
          <w:rFonts w:ascii="Trebuchet MS" w:hAnsi="Trebuchet MS" w:cstheme="minorHAnsi"/>
          <w:sz w:val="24"/>
          <w:szCs w:val="24"/>
        </w:rPr>
        <w:t>symawi, keberagamaan seperti itu juga dipengaruhi faktor eksternal, yakni infiltrasi “israiliyyat” kedalam konstruksi keagamaan umat Islam yang memang masih mengakui syariat agama terdahulu (</w:t>
      </w:r>
      <w:r w:rsidRPr="00F96D0C">
        <w:rPr>
          <w:rFonts w:ascii="Trebuchet MS" w:hAnsi="Trebuchet MS" w:cstheme="minorHAnsi"/>
          <w:i/>
          <w:iCs/>
          <w:sz w:val="24"/>
          <w:szCs w:val="24"/>
        </w:rPr>
        <w:t>syar’u man qablanâ</w:t>
      </w:r>
      <w:r w:rsidRPr="00F96D0C">
        <w:rPr>
          <w:rFonts w:ascii="Trebuchet MS" w:hAnsi="Trebuchet MS" w:cstheme="minorHAnsi"/>
          <w:sz w:val="24"/>
          <w:szCs w:val="24"/>
        </w:rPr>
        <w:t xml:space="preserve">) </w:t>
      </w:r>
      <w:r>
        <w:rPr>
          <w:rFonts w:ascii="Trebuchet MS" w:hAnsi="Trebuchet MS" w:cstheme="minorHAnsi"/>
          <w:sz w:val="24"/>
          <w:szCs w:val="24"/>
        </w:rPr>
        <w:t>sebagai</w:t>
      </w:r>
      <w:r w:rsidRPr="00F96D0C">
        <w:rPr>
          <w:rFonts w:ascii="Trebuchet MS" w:hAnsi="Trebuchet MS" w:cstheme="minorHAnsi"/>
          <w:sz w:val="24"/>
          <w:szCs w:val="24"/>
        </w:rPr>
        <w:t xml:space="preserve"> landasan. Tanpa disadari oleh umat Islam, menurut analisis al-‘Ulwâni, kalangan Yahudi telah melakukan konspirasi untuk mencemari kemurnian ajaran Islam. Hal ini ternyata dinilai cukup berhasil, terlihat pada gejala pengaburan prinsip </w:t>
      </w:r>
      <w:r w:rsidRPr="00F96D0C">
        <w:rPr>
          <w:rFonts w:ascii="Trebuchet MS" w:hAnsi="Trebuchet MS" w:cstheme="minorHAnsi"/>
          <w:i/>
          <w:iCs/>
          <w:sz w:val="24"/>
          <w:szCs w:val="24"/>
        </w:rPr>
        <w:t>takhf</w:t>
      </w:r>
      <w:r>
        <w:rPr>
          <w:rFonts w:ascii="Trebuchet MS" w:hAnsi="Trebuchet MS" w:cstheme="minorHAnsi"/>
          <w:i/>
          <w:iCs/>
          <w:sz w:val="24"/>
          <w:szCs w:val="24"/>
        </w:rPr>
        <w:t>î</w:t>
      </w:r>
      <w:r w:rsidRPr="00F96D0C">
        <w:rPr>
          <w:rFonts w:ascii="Trebuchet MS" w:hAnsi="Trebuchet MS" w:cstheme="minorHAnsi"/>
          <w:i/>
          <w:iCs/>
          <w:sz w:val="24"/>
          <w:szCs w:val="24"/>
        </w:rPr>
        <w:t>f wa rahmah</w:t>
      </w:r>
      <w:r w:rsidRPr="00F96D0C">
        <w:rPr>
          <w:rFonts w:ascii="Trebuchet MS" w:hAnsi="Trebuchet MS" w:cstheme="minorHAnsi"/>
          <w:sz w:val="24"/>
          <w:szCs w:val="24"/>
        </w:rPr>
        <w:t xml:space="preserve"> dari ranah keberagamaan umat Islam. Pantas saja, manakala ajaran dasar al-Qur’an mengenai kebebasan beragama dan peniadaan sanksi duniawi bagi orang yang murtad tidak diapresiasi dengan baik. Sebaliknya, umat Islam terus bersikukuh dengan ketetapan hukuman mati bagi orang yang murtad dan melakukan tindak kekerasan kepada siapa saja yang berakidah lain.</w:t>
      </w:r>
    </w:p>
    <w:p w:rsidR="00610EED" w:rsidRDefault="00610EED" w:rsidP="00610EED">
      <w:pPr>
        <w:spacing w:line="360" w:lineRule="auto"/>
        <w:rPr>
          <w:rFonts w:ascii="Trebuchet MS" w:hAnsi="Trebuchet MS" w:cstheme="minorHAnsi"/>
          <w:sz w:val="24"/>
          <w:szCs w:val="24"/>
        </w:rPr>
      </w:pPr>
      <w:r>
        <w:rPr>
          <w:rFonts w:ascii="Trebuchet MS" w:hAnsi="Trebuchet MS" w:cstheme="minorHAnsi"/>
          <w:sz w:val="24"/>
          <w:szCs w:val="24"/>
        </w:rPr>
        <w:t>Diletakkan dalam konteks fiqih minoritas (</w:t>
      </w:r>
      <w:r w:rsidRPr="005C71E5">
        <w:rPr>
          <w:rFonts w:ascii="Trebuchet MS" w:hAnsi="Trebuchet MS" w:cstheme="minorHAnsi"/>
          <w:i/>
          <w:iCs/>
          <w:sz w:val="24"/>
          <w:szCs w:val="24"/>
        </w:rPr>
        <w:t>fiqh aqalliyyah</w:t>
      </w:r>
      <w:r>
        <w:rPr>
          <w:rFonts w:ascii="Trebuchet MS" w:hAnsi="Trebuchet MS" w:cstheme="minorHAnsi"/>
          <w:sz w:val="24"/>
          <w:szCs w:val="24"/>
        </w:rPr>
        <w:t xml:space="preserve">), apresiasi prinsip </w:t>
      </w:r>
      <w:r w:rsidRPr="005C71E5">
        <w:rPr>
          <w:rFonts w:ascii="Trebuchet MS" w:hAnsi="Trebuchet MS" w:cstheme="minorHAnsi"/>
          <w:i/>
          <w:iCs/>
          <w:sz w:val="24"/>
          <w:szCs w:val="24"/>
        </w:rPr>
        <w:t>takhfif wa rahmah</w:t>
      </w:r>
      <w:r>
        <w:rPr>
          <w:rFonts w:ascii="Trebuchet MS" w:hAnsi="Trebuchet MS" w:cstheme="minorHAnsi"/>
          <w:sz w:val="24"/>
          <w:szCs w:val="24"/>
        </w:rPr>
        <w:t xml:space="preserve"> sangatlah penting agar umat Islam sebagai warga minoritas di Barat tidak terus-menerus dicurigai di tengah maraknya Islamphobia dan kuatnya tuntutan penegakan HAM. Dengan prinsip itu, umat Islam diharapkan menampilkan wajah Islam yang utuh dan toleran, yakni corak Islam yang menjunjung tinggi penegakan HAM, mengingat penegakan HAM merupakan bagian penting dari realisasi </w:t>
      </w:r>
      <w:r w:rsidRPr="004A1F66">
        <w:rPr>
          <w:rFonts w:ascii="Trebuchet MS" w:hAnsi="Trebuchet MS" w:cstheme="minorHAnsi"/>
          <w:i/>
          <w:iCs/>
          <w:sz w:val="24"/>
          <w:szCs w:val="24"/>
        </w:rPr>
        <w:t>maqâshid al-syari’ah</w:t>
      </w:r>
      <w:r>
        <w:rPr>
          <w:rFonts w:ascii="Trebuchet MS" w:hAnsi="Trebuchet MS" w:cstheme="minorHAnsi"/>
          <w:sz w:val="24"/>
          <w:szCs w:val="24"/>
        </w:rPr>
        <w:t>.</w:t>
      </w:r>
      <w:r>
        <w:rPr>
          <w:rStyle w:val="FootnoteReference"/>
          <w:rFonts w:ascii="Trebuchet MS" w:hAnsi="Trebuchet MS" w:cstheme="minorHAnsi"/>
          <w:sz w:val="24"/>
          <w:szCs w:val="24"/>
        </w:rPr>
        <w:footnoteReference w:id="8"/>
      </w:r>
      <w:r>
        <w:rPr>
          <w:rFonts w:ascii="Trebuchet MS" w:hAnsi="Trebuchet MS" w:cstheme="minorHAnsi"/>
          <w:sz w:val="24"/>
          <w:szCs w:val="24"/>
        </w:rPr>
        <w:t xml:space="preserve"> Hal ini dimungkinkan manakala umat Islam bersedia menyapih fiqih dari nuansa ideologisnya agar tidak kehilangan humanitasnya. Sebagai salah seorang pendiri </w:t>
      </w:r>
      <w:r w:rsidRPr="0064370A">
        <w:rPr>
          <w:rFonts w:ascii="Trebuchet MS" w:hAnsi="Trebuchet MS" w:cstheme="minorHAnsi"/>
          <w:i/>
          <w:iCs/>
          <w:sz w:val="24"/>
          <w:szCs w:val="24"/>
        </w:rPr>
        <w:t>Fiqh Council of North America</w:t>
      </w:r>
      <w:r>
        <w:rPr>
          <w:rFonts w:ascii="Trebuchet MS" w:hAnsi="Trebuchet MS" w:cstheme="minorHAnsi"/>
          <w:sz w:val="24"/>
          <w:szCs w:val="24"/>
        </w:rPr>
        <w:t xml:space="preserve"> (FCNA), al-‘Ulwani tentunya  sangat </w:t>
      </w:r>
      <w:r>
        <w:rPr>
          <w:rFonts w:ascii="Trebuchet MS" w:hAnsi="Trebuchet MS" w:cstheme="minorHAnsi"/>
          <w:sz w:val="24"/>
          <w:szCs w:val="24"/>
        </w:rPr>
        <w:lastRenderedPageBreak/>
        <w:t>paham situasi pelik yang dihadapi warga minoritas Muslim di Barat. Kehadiran buku yang ditulisnya ini dapat dimaknai sebagai respons kritisnya atas apa yang dibutuhkan mereka.</w:t>
      </w:r>
    </w:p>
    <w:p w:rsidR="00610EED" w:rsidRDefault="00610EED" w:rsidP="00610EED">
      <w:pPr>
        <w:spacing w:line="360" w:lineRule="auto"/>
        <w:rPr>
          <w:rFonts w:ascii="Trebuchet MS" w:hAnsi="Trebuchet MS" w:cstheme="minorHAnsi"/>
          <w:sz w:val="24"/>
          <w:szCs w:val="24"/>
        </w:rPr>
      </w:pPr>
      <w:r>
        <w:rPr>
          <w:rFonts w:ascii="Trebuchet MS" w:hAnsi="Trebuchet MS" w:cstheme="minorHAnsi"/>
          <w:sz w:val="24"/>
          <w:szCs w:val="24"/>
        </w:rPr>
        <w:t>Meski di tanah air umat Islam bukanlah warga minoritas, diseminasi hasil kajian al-‘Ulwani ini ke masyarakat luas tetaplah krusial mengingat wajah Islam yang toleran sedang diselimuti kabut aneka tindak kekerasan dan teror yang dilakukan oleh sebagian kelompok. Hasil kajian ini berguna untuk memformulasikan basis teologis dalam rangka menguatkan paham keagamaan yang toleran dalam menyikapi perbedaan keyakinan. Paham keagamaan seperti ini perlu diinternalisasikan melalui kegiatan pendidikan agar pengetahuan, sikap, dan perilaku keagamaan peserta didik menjadi toleran dan humanis serta tidak mudah terjerat jaring-jaring “radikalisasi” agama yang terbukti telah berhasil menyusup tanpa disadari kedalam alam bawah sadar keberagamaan kita. Fanatisme sempit dan gejala apokaliptisisme</w:t>
      </w:r>
      <w:r>
        <w:rPr>
          <w:rStyle w:val="FootnoteReference"/>
          <w:rFonts w:ascii="Trebuchet MS" w:hAnsi="Trebuchet MS" w:cstheme="minorHAnsi"/>
          <w:sz w:val="24"/>
          <w:szCs w:val="24"/>
        </w:rPr>
        <w:footnoteReference w:id="9"/>
      </w:r>
      <w:r>
        <w:rPr>
          <w:rFonts w:ascii="Trebuchet MS" w:hAnsi="Trebuchet MS" w:cstheme="minorHAnsi"/>
          <w:sz w:val="24"/>
          <w:szCs w:val="24"/>
        </w:rPr>
        <w:t xml:space="preserve"> merupakan sebagian contoh bahaya laten yang setiap saat berpotensi menyembul ke permukaan dan menyulut tindak kekerasan atasnama agama. Memfungsikan pendidikan untuk menyemai sikap toleran peserta didik dan mempromosikan penegakan HAM berarti kita berupaya memaksimalkan peran pendidikan dalam memanusiakan manusia. Dalam kaitan ini, pendidikan mengemban peran humanisasi dan hominisasi. Dengan peran humanisasi, pendidikan dituntut untuk mengembangkan segenap potensi diri kemanusiaan peserta didik, baik fisik, intelektual, emosional maupun spiritual yang memang secara fitrah ia telah diciptakan Tuhan dalam sebaik-baik bentuk (</w:t>
      </w:r>
      <w:r w:rsidRPr="00677179">
        <w:rPr>
          <w:rFonts w:ascii="Trebuchet MS" w:hAnsi="Trebuchet MS" w:cstheme="minorHAnsi"/>
          <w:i/>
          <w:iCs/>
          <w:sz w:val="24"/>
          <w:szCs w:val="24"/>
        </w:rPr>
        <w:t>fî ahsani taqwîm</w:t>
      </w:r>
      <w:r>
        <w:rPr>
          <w:rFonts w:ascii="Trebuchet MS" w:hAnsi="Trebuchet MS" w:cstheme="minorHAnsi"/>
          <w:sz w:val="24"/>
          <w:szCs w:val="24"/>
        </w:rPr>
        <w:t xml:space="preserve">). Sedangkan dengan peran hominisasi, pendidikan diharapkan mampu mengembangkan sisi perikemanusiaan peserta didik sehingga aktualisasi potensi dirinya (individuasi) tetaplah dalam kerangka partisipasi. Toleransi, keadilan, kerjasama, dan kepedulian merupakan sebagian contoh nilai yang perlu diinternalisasikan dalam proses hominisasi agar peserta didik tumbuh menjadi pribadi yang senantiasa pandai </w:t>
      </w:r>
      <w:r w:rsidRPr="000F5B4E">
        <w:rPr>
          <w:rFonts w:ascii="Trebuchet MS" w:hAnsi="Trebuchet MS" w:cstheme="minorHAnsi"/>
          <w:i/>
          <w:iCs/>
          <w:sz w:val="24"/>
          <w:szCs w:val="24"/>
        </w:rPr>
        <w:t>nguwongke</w:t>
      </w:r>
      <w:r>
        <w:rPr>
          <w:rFonts w:ascii="Trebuchet MS" w:hAnsi="Trebuchet MS" w:cstheme="minorHAnsi"/>
          <w:sz w:val="24"/>
          <w:szCs w:val="24"/>
        </w:rPr>
        <w:t xml:space="preserve"> orang lain, tidak egoistis, sektarian, dan anti sosial. Sebab, pribadi yang unggul bukanlah </w:t>
      </w:r>
      <w:r>
        <w:rPr>
          <w:rFonts w:ascii="Trebuchet MS" w:hAnsi="Trebuchet MS" w:cstheme="minorHAnsi"/>
          <w:sz w:val="24"/>
          <w:szCs w:val="24"/>
        </w:rPr>
        <w:lastRenderedPageBreak/>
        <w:t>individu yang menonjol kemampuan dirinya namun ia cenderung meremehkan kemampuan orang lain; atau individu yang suka menghargai kemampuan orang lain, akan tetapi ia sendiri hanya berpuas diri dengan kemampuan yang serba pas-pasan.</w:t>
      </w:r>
    </w:p>
    <w:p w:rsidR="00610EED" w:rsidRDefault="00610EED" w:rsidP="00610EED">
      <w:pPr>
        <w:spacing w:line="360" w:lineRule="auto"/>
        <w:ind w:firstLine="0"/>
        <w:rPr>
          <w:rFonts w:ascii="Trebuchet MS" w:hAnsi="Trebuchet MS" w:cstheme="minorHAnsi"/>
          <w:sz w:val="24"/>
          <w:szCs w:val="24"/>
        </w:rPr>
      </w:pPr>
    </w:p>
    <w:p w:rsidR="00610EED" w:rsidRPr="00527490" w:rsidRDefault="001C30F7" w:rsidP="00610EED">
      <w:pPr>
        <w:spacing w:line="360" w:lineRule="auto"/>
        <w:ind w:firstLine="0"/>
        <w:rPr>
          <w:rFonts w:ascii="Trebuchet MS" w:hAnsi="Trebuchet MS" w:cstheme="minorHAnsi"/>
          <w:b/>
          <w:bCs/>
          <w:sz w:val="24"/>
          <w:szCs w:val="24"/>
        </w:rPr>
      </w:pPr>
      <w:r w:rsidRPr="001C30F7">
        <w:rPr>
          <w:rFonts w:ascii="Trebuchet MS" w:hAnsi="Trebuchet MS" w:cstheme="minorHAnsi"/>
          <w:b/>
          <w:bCs/>
          <w:sz w:val="24"/>
          <w:szCs w:val="24"/>
          <w:lang w:val="fr-FR"/>
        </w:rPr>
        <w:t xml:space="preserve">B. </w:t>
      </w:r>
      <w:r w:rsidR="00610EED" w:rsidRPr="00527490">
        <w:rPr>
          <w:rFonts w:ascii="Trebuchet MS" w:hAnsi="Trebuchet MS" w:cstheme="minorHAnsi"/>
          <w:b/>
          <w:bCs/>
          <w:sz w:val="24"/>
          <w:szCs w:val="24"/>
        </w:rPr>
        <w:t>Islam Humanis dan Humanisasi Pendidikan</w:t>
      </w:r>
    </w:p>
    <w:p w:rsidR="00610EED" w:rsidRDefault="00610EED" w:rsidP="00610EED">
      <w:pPr>
        <w:spacing w:line="360" w:lineRule="auto"/>
        <w:rPr>
          <w:rFonts w:ascii="Trebuchet MS" w:hAnsi="Trebuchet MS" w:cstheme="minorHAnsi"/>
          <w:sz w:val="24"/>
          <w:szCs w:val="24"/>
        </w:rPr>
      </w:pPr>
      <w:r>
        <w:rPr>
          <w:rFonts w:ascii="Trebuchet MS" w:hAnsi="Trebuchet MS" w:cstheme="minorHAnsi"/>
          <w:sz w:val="24"/>
          <w:szCs w:val="24"/>
        </w:rPr>
        <w:t xml:space="preserve">Islam adalah </w:t>
      </w:r>
      <w:r w:rsidRPr="0078212D">
        <w:rPr>
          <w:rFonts w:ascii="Trebuchet MS" w:hAnsi="Trebuchet MS" w:cstheme="minorHAnsi"/>
          <w:i/>
          <w:iCs/>
          <w:sz w:val="24"/>
          <w:szCs w:val="24"/>
        </w:rPr>
        <w:t>syari’at al-rahmah</w:t>
      </w:r>
      <w:r>
        <w:rPr>
          <w:rFonts w:ascii="Trebuchet MS" w:hAnsi="Trebuchet MS" w:cstheme="minorHAnsi"/>
          <w:i/>
          <w:iCs/>
          <w:sz w:val="24"/>
          <w:szCs w:val="24"/>
        </w:rPr>
        <w:t>,</w:t>
      </w:r>
      <w:r w:rsidRPr="0078212D">
        <w:rPr>
          <w:rStyle w:val="FootnoteReference"/>
          <w:rFonts w:ascii="Trebuchet MS" w:hAnsi="Trebuchet MS" w:cstheme="minorHAnsi"/>
          <w:sz w:val="24"/>
          <w:szCs w:val="24"/>
        </w:rPr>
        <w:footnoteReference w:id="10"/>
      </w:r>
      <w:r>
        <w:rPr>
          <w:rFonts w:ascii="Trebuchet MS" w:hAnsi="Trebuchet MS" w:cstheme="minorHAnsi"/>
          <w:i/>
          <w:iCs/>
          <w:sz w:val="24"/>
          <w:szCs w:val="24"/>
        </w:rPr>
        <w:t xml:space="preserve"> </w:t>
      </w:r>
      <w:r>
        <w:rPr>
          <w:rFonts w:ascii="Trebuchet MS" w:hAnsi="Trebuchet MS" w:cstheme="minorHAnsi"/>
          <w:sz w:val="24"/>
          <w:szCs w:val="24"/>
        </w:rPr>
        <w:t xml:space="preserve">yaitu tuntunan yang memadukan antara kebenaran dan cinta, antara memaafkan dan bertindak secara makruf. Ini mengandung arti, ide penerapan syariat seharusnya dipahami sebagai upaya mengaktualisasikan nilai-nilai rahmah dalam kehidupan nyata dan menjadikannya sebagai prinsip umum untuk menata segala aspek kehidupan. Karena itu, ketika syariat ditegakkan, maka ia dituntut mampu menjamin terhadap pemberian kemudahan hidup manusia, pemeliharaan kemaslahatan publik, dan tiadanya represi kepada umat Islam. Dalam uraiannya mengenai sekelumit akhlak Nabi Saw, Dr. Ahmad Fakîr menempatkan </w:t>
      </w:r>
      <w:r w:rsidRPr="006422FE">
        <w:rPr>
          <w:rFonts w:ascii="Trebuchet MS" w:hAnsi="Trebuchet MS" w:cstheme="minorHAnsi"/>
          <w:i/>
          <w:iCs/>
          <w:sz w:val="24"/>
          <w:szCs w:val="24"/>
        </w:rPr>
        <w:t>rahmah</w:t>
      </w:r>
      <w:r>
        <w:rPr>
          <w:rFonts w:ascii="Trebuchet MS" w:hAnsi="Trebuchet MS" w:cstheme="minorHAnsi"/>
          <w:sz w:val="24"/>
          <w:szCs w:val="24"/>
        </w:rPr>
        <w:t xml:space="preserve"> pada urutan pertama yang menandai keluhuran akhlak beliau.</w:t>
      </w:r>
      <w:r>
        <w:rPr>
          <w:rStyle w:val="FootnoteReference"/>
          <w:rFonts w:ascii="Trebuchet MS" w:hAnsi="Trebuchet MS" w:cstheme="minorHAnsi"/>
          <w:sz w:val="24"/>
          <w:szCs w:val="24"/>
        </w:rPr>
        <w:footnoteReference w:id="11"/>
      </w:r>
      <w:r>
        <w:rPr>
          <w:rFonts w:ascii="Trebuchet MS" w:hAnsi="Trebuchet MS" w:cstheme="minorHAnsi"/>
          <w:sz w:val="24"/>
          <w:szCs w:val="24"/>
        </w:rPr>
        <w:t xml:space="preserve"> Nilai-nilai </w:t>
      </w:r>
      <w:r w:rsidRPr="00C44E47">
        <w:rPr>
          <w:rFonts w:ascii="Trebuchet MS" w:hAnsi="Trebuchet MS" w:cstheme="minorHAnsi"/>
          <w:i/>
          <w:iCs/>
          <w:sz w:val="24"/>
          <w:szCs w:val="24"/>
        </w:rPr>
        <w:t>rahmah</w:t>
      </w:r>
      <w:r>
        <w:rPr>
          <w:rFonts w:ascii="Trebuchet MS" w:hAnsi="Trebuchet MS" w:cstheme="minorHAnsi"/>
          <w:sz w:val="24"/>
          <w:szCs w:val="24"/>
        </w:rPr>
        <w:t xml:space="preserve"> diejawantahkan Nabi dalam banyak hal, antara lain: penghapusan beban tuntutan yang akan memberatkan umat. Hal ini terlihat dari sikap Nabi menahan diri dari melakukan suatu amalan karena khawatir nanti diwajibkan bagi umat, dan sikap beliau menahan diri dari menjawab sebagian permasalahan karena khawatir bisa memberatkan umat. </w:t>
      </w:r>
    </w:p>
    <w:p w:rsidR="00610EED" w:rsidRDefault="00610EED" w:rsidP="00610EED">
      <w:pPr>
        <w:spacing w:line="360" w:lineRule="auto"/>
        <w:rPr>
          <w:rFonts w:ascii="Trebuchet MS" w:hAnsi="Trebuchet MS" w:cstheme="minorHAnsi"/>
          <w:sz w:val="24"/>
          <w:szCs w:val="24"/>
        </w:rPr>
      </w:pPr>
      <w:r>
        <w:rPr>
          <w:rFonts w:ascii="Trebuchet MS" w:hAnsi="Trebuchet MS" w:cstheme="minorHAnsi"/>
          <w:sz w:val="24"/>
          <w:szCs w:val="24"/>
        </w:rPr>
        <w:t xml:space="preserve">Mengejawantahkan </w:t>
      </w:r>
      <w:r w:rsidRPr="00BD13FE">
        <w:rPr>
          <w:rFonts w:ascii="Trebuchet MS" w:hAnsi="Trebuchet MS" w:cstheme="minorHAnsi"/>
          <w:i/>
          <w:iCs/>
          <w:sz w:val="24"/>
          <w:szCs w:val="24"/>
        </w:rPr>
        <w:t>rahmah</w:t>
      </w:r>
      <w:r>
        <w:rPr>
          <w:rFonts w:ascii="Trebuchet MS" w:hAnsi="Trebuchet MS" w:cstheme="minorHAnsi"/>
          <w:sz w:val="24"/>
          <w:szCs w:val="24"/>
        </w:rPr>
        <w:t xml:space="preserve"> dalam pendidikan setidaknya bisa melalui: tujuan, isi, cara/pendekatan, tindakan, dan iklim/suasana. Mengejawantahkan melalui tujuan adalah merumuskan tujuan pendidikan  berlandaskan pada nilai kasih sayang. Dengan tujuan semacam ini, pendidikan tidak lagi mengabdi pada keuntungan material semata karena akan bisa menghasilkan manusia serakah, konsumtif, dan hedonis. Pendidikan juga tidak mengajarkan kekerasan baik verbal maupun non verbal karena akan mendorong timbulnya perilaku tidak santun, anarkhis, atau bahkan sadis. Mengejawantahkan melalui isi mengandung arti mengintegrasikan nilai-nilai kasih sayang kedalam muatan materi pendidikan sehingga menjadi bagian </w:t>
      </w:r>
      <w:r>
        <w:rPr>
          <w:rFonts w:ascii="Trebuchet MS" w:hAnsi="Trebuchet MS" w:cstheme="minorHAnsi"/>
          <w:sz w:val="24"/>
          <w:szCs w:val="24"/>
        </w:rPr>
        <w:lastRenderedPageBreak/>
        <w:t>dari hal yang dipelajari, ditanamkan, dihayati, dipraktikkan, diamalkan, dan dievaluasi. Mengejawantahkan melalui cara/pendekatan dapat dimaknai sebagai rangkaian proses metodis yang menunjang upaya penanaman nilai kasih sayang, baik secara langsung maupun tidak langsung. Mengejawantahkan melalui tindakan adalah aktualisasi konkret nilai kasih sayang dalam proses interaksi edukatif, seperti secara tulus guru membantu peserta didik yang mengalami kesulitan belajar dan kesediaan saling membatu antar peserta didik dalam proses kegiatan belajar. Selanjutnya, mengejawantahkan melalui iklim/suasana adalah menciptakan miliu dan kultur kelas, sekolah, madrasah, PT, keluarga, dan sejenisnya yang kondusif bagi tumbuh berkembangnya kasih sayang, seperti suasana kekeluargaan, suasana saling asih, asah, dan asuh, dan suasana kooperatif-kolaboratif.</w:t>
      </w:r>
    </w:p>
    <w:p w:rsidR="00610EED" w:rsidRDefault="00610EED" w:rsidP="00610EED">
      <w:pPr>
        <w:spacing w:line="360" w:lineRule="auto"/>
        <w:rPr>
          <w:rFonts w:ascii="Trebuchet MS" w:hAnsi="Trebuchet MS" w:cstheme="minorHAnsi"/>
          <w:sz w:val="24"/>
          <w:szCs w:val="24"/>
        </w:rPr>
      </w:pPr>
      <w:r>
        <w:rPr>
          <w:rFonts w:ascii="Trebuchet MS" w:hAnsi="Trebuchet MS" w:cstheme="minorHAnsi"/>
          <w:sz w:val="24"/>
          <w:szCs w:val="24"/>
        </w:rPr>
        <w:t>Kasih sayang (</w:t>
      </w:r>
      <w:r w:rsidRPr="00BC25A3">
        <w:rPr>
          <w:rFonts w:ascii="Trebuchet MS" w:hAnsi="Trebuchet MS" w:cstheme="minorHAnsi"/>
          <w:i/>
          <w:iCs/>
          <w:sz w:val="24"/>
          <w:szCs w:val="24"/>
        </w:rPr>
        <w:t>rahmah</w:t>
      </w:r>
      <w:r>
        <w:rPr>
          <w:rFonts w:ascii="Trebuchet MS" w:hAnsi="Trebuchet MS" w:cstheme="minorHAnsi"/>
          <w:sz w:val="24"/>
          <w:szCs w:val="24"/>
        </w:rPr>
        <w:t>) merupakan nilai inti humanisasi; kasih sayang juga merupakan nilai dasar akhlak mulia. Fenomena kekerasan yang mencoreng citra dunia pendidikan karena terasa kian marak dari hari ke hari adalah indikator kuat atas redupnya atau bahkan pudarnya nilai kasih sayang dalam menjiwai praktik pendidikan yang berlangsung di pelbagai institusi. Barangkali nilai kasih sayang telah tergerus oleh hiruk pikuk persiapan UN, kegiatan proyek anggaran, penambahan penghasilan, kegiatan seremoni, kegiatan persaingan untuk saling menjatuhkan, dan sebagainya, sehingga praktik pendidikan yang berlangsung cenderung dehumanistik dan amoral karena tidak lagi “berpusat pada hati”. Mengingat begitu pentingnya masalah hati, karya-karya pendidikan Islam klasik memberikan perhatian besar terhadap hal ini. Baik guru maupun peserta didik, misalnya, diharuskan untuk meluruskan niat; guru diharuskan mampu mengemban tugas dengan tulus dan penuh kasih sayang; peserta didik diajarkan untuk memiliki rasa respek terhadap ilmu dan guru; orientasi pendidikan pun adalah membersihkan hati, selain mencerdaskan akal dan mengasah keterampilan. Ini adalah sebagian dari penjabaran makna pendidikan berpusat pada hati.</w:t>
      </w:r>
    </w:p>
    <w:p w:rsidR="00610EED" w:rsidRDefault="00610EED" w:rsidP="00610EED">
      <w:pPr>
        <w:spacing w:line="360" w:lineRule="auto"/>
        <w:rPr>
          <w:rFonts w:ascii="Trebuchet MS" w:hAnsi="Trebuchet MS" w:cstheme="minorHAnsi"/>
          <w:sz w:val="24"/>
          <w:szCs w:val="24"/>
        </w:rPr>
      </w:pPr>
      <w:r>
        <w:rPr>
          <w:rFonts w:ascii="Trebuchet MS" w:hAnsi="Trebuchet MS" w:cstheme="minorHAnsi"/>
          <w:sz w:val="24"/>
          <w:szCs w:val="24"/>
        </w:rPr>
        <w:t xml:space="preserve">Prof. Athiyah al-Abrasyi menegaskan bahwa pendidikan akhlak adalah ruh pendidikan Islam. Pendidikan akhlak tidak mungkin berhasil jika mengabaikan masalah hati, semisal: jujur, hormat, peduli, tulus, dan pema’af. Kegagalan pendidikan agama dalam membina akhlak peserta didik </w:t>
      </w:r>
      <w:r>
        <w:rPr>
          <w:rFonts w:ascii="Trebuchet MS" w:hAnsi="Trebuchet MS" w:cstheme="minorHAnsi"/>
          <w:sz w:val="24"/>
          <w:szCs w:val="24"/>
        </w:rPr>
        <w:lastRenderedPageBreak/>
        <w:t xml:space="preserve">lebih disebabkan terabaikannya masalah hati tersebut sehingga proses yang berjalan sejatinya sebatas kognitif, dan aspek yang digarap pun berkutat pada </w:t>
      </w:r>
      <w:r w:rsidRPr="00E5592C">
        <w:rPr>
          <w:rFonts w:ascii="Trebuchet MS" w:hAnsi="Trebuchet MS" w:cstheme="minorHAnsi"/>
          <w:i/>
          <w:iCs/>
          <w:sz w:val="24"/>
          <w:szCs w:val="24"/>
        </w:rPr>
        <w:t>head</w:t>
      </w:r>
      <w:r>
        <w:rPr>
          <w:rFonts w:ascii="Trebuchet MS" w:hAnsi="Trebuchet MS" w:cstheme="minorHAnsi"/>
          <w:sz w:val="24"/>
          <w:szCs w:val="24"/>
        </w:rPr>
        <w:t xml:space="preserve"> dan </w:t>
      </w:r>
      <w:r w:rsidRPr="00E5592C">
        <w:rPr>
          <w:rFonts w:ascii="Trebuchet MS" w:hAnsi="Trebuchet MS" w:cstheme="minorHAnsi"/>
          <w:i/>
          <w:iCs/>
          <w:sz w:val="24"/>
          <w:szCs w:val="24"/>
        </w:rPr>
        <w:t>hand</w:t>
      </w:r>
      <w:r>
        <w:rPr>
          <w:rFonts w:ascii="Trebuchet MS" w:hAnsi="Trebuchet MS" w:cstheme="minorHAnsi"/>
          <w:sz w:val="24"/>
          <w:szCs w:val="24"/>
        </w:rPr>
        <w:t xml:space="preserve">, minus </w:t>
      </w:r>
      <w:r w:rsidRPr="00E5592C">
        <w:rPr>
          <w:rFonts w:ascii="Trebuchet MS" w:hAnsi="Trebuchet MS" w:cstheme="minorHAnsi"/>
          <w:i/>
          <w:iCs/>
          <w:sz w:val="24"/>
          <w:szCs w:val="24"/>
        </w:rPr>
        <w:t>heart</w:t>
      </w:r>
      <w:r>
        <w:rPr>
          <w:rFonts w:ascii="Trebuchet MS" w:hAnsi="Trebuchet MS" w:cstheme="minorHAnsi"/>
          <w:sz w:val="24"/>
          <w:szCs w:val="24"/>
        </w:rPr>
        <w:t>. Agaknya karena alasan ini, pemerintah memberlakukan kurikulum 2013 untuk menggantikan KTSP yang dinilai kurang berhasil dalam pembentukan karakter. Salah satu letak perbedaan kurikulum 2013 dan KTSP adalah pada penjabaran standar kompetensi lulusan (SKL). SKL dijabarkan kedalam kompetensi inti (KI) dan kompetensi dasar (KD), sebelumnya SKL dijabarkan menjadi standar kompetensi (SK) dan kompetensi dasar (KD). Kompetensi inti mencakup empat aspek kompetensi, yakni (1) kompetensi inti spiritual, (2) kompetensi inti sosial, (3) kompetensi inti pengetahuan, dan (4) kompetensi inti keterampilan. Dengan keempat aspek tersebut, rumusan kompetensi inti bermaksud menampilkan kompetensi secara integratif dan memayungi semua matapelajaran agar mendukung pencapaian kompetensi inti tadi.</w:t>
      </w:r>
    </w:p>
    <w:p w:rsidR="00610EED" w:rsidRDefault="00610EED" w:rsidP="00610EED">
      <w:pPr>
        <w:spacing w:line="360" w:lineRule="auto"/>
        <w:ind w:firstLine="0"/>
        <w:rPr>
          <w:rFonts w:ascii="Trebuchet MS" w:hAnsi="Trebuchet MS" w:cstheme="minorHAnsi"/>
          <w:sz w:val="24"/>
          <w:szCs w:val="24"/>
        </w:rPr>
      </w:pPr>
    </w:p>
    <w:p w:rsidR="00610EED" w:rsidRPr="00527490" w:rsidRDefault="001C30F7" w:rsidP="00610EED">
      <w:pPr>
        <w:spacing w:line="360" w:lineRule="auto"/>
        <w:ind w:firstLine="0"/>
        <w:rPr>
          <w:rFonts w:ascii="Trebuchet MS" w:hAnsi="Trebuchet MS" w:cstheme="minorHAnsi"/>
          <w:b/>
          <w:bCs/>
          <w:sz w:val="24"/>
          <w:szCs w:val="24"/>
        </w:rPr>
      </w:pPr>
      <w:r w:rsidRPr="0083765F">
        <w:rPr>
          <w:rFonts w:ascii="Trebuchet MS" w:hAnsi="Trebuchet MS" w:cstheme="minorHAnsi"/>
          <w:b/>
          <w:bCs/>
          <w:sz w:val="24"/>
          <w:szCs w:val="24"/>
        </w:rPr>
        <w:t xml:space="preserve">C. </w:t>
      </w:r>
      <w:r w:rsidR="00610EED" w:rsidRPr="00527490">
        <w:rPr>
          <w:rFonts w:ascii="Trebuchet MS" w:hAnsi="Trebuchet MS" w:cstheme="minorHAnsi"/>
          <w:b/>
          <w:bCs/>
          <w:sz w:val="24"/>
          <w:szCs w:val="24"/>
        </w:rPr>
        <w:t>Akhlak Nabi yang Humanis</w:t>
      </w:r>
    </w:p>
    <w:p w:rsidR="00610EED" w:rsidRDefault="00610EED" w:rsidP="00610EED">
      <w:pPr>
        <w:spacing w:line="360" w:lineRule="auto"/>
        <w:rPr>
          <w:rFonts w:ascii="Trebuchet MS" w:hAnsi="Trebuchet MS" w:cstheme="minorHAnsi"/>
          <w:sz w:val="24"/>
          <w:szCs w:val="24"/>
        </w:rPr>
      </w:pPr>
      <w:r>
        <w:rPr>
          <w:rFonts w:ascii="Trebuchet MS" w:hAnsi="Trebuchet MS" w:cstheme="minorHAnsi"/>
          <w:sz w:val="24"/>
          <w:szCs w:val="24"/>
        </w:rPr>
        <w:t xml:space="preserve">Ketika menguraikan sekelumit akhlak Nabi Saw, Dr. Ahmad Fakir secara khusus menggarisbawahi </w:t>
      </w:r>
      <w:r w:rsidRPr="006C0628">
        <w:rPr>
          <w:rFonts w:ascii="Trebuchet MS" w:hAnsi="Trebuchet MS" w:cstheme="minorHAnsi"/>
          <w:i/>
          <w:iCs/>
          <w:sz w:val="24"/>
          <w:szCs w:val="24"/>
        </w:rPr>
        <w:t>rahmah</w:t>
      </w:r>
      <w:r>
        <w:rPr>
          <w:rFonts w:ascii="Trebuchet MS" w:hAnsi="Trebuchet MS" w:cstheme="minorHAnsi"/>
          <w:sz w:val="24"/>
          <w:szCs w:val="24"/>
        </w:rPr>
        <w:t xml:space="preserve"> (kasih sayang) sebagai salah satu akhlak beliau. Termasuk kedalam bukti kuat akhlak Nabi ini adalah (1) beliau menghilangkan beban dan kesulitan dari umatnya dalam menetapkan </w:t>
      </w:r>
      <w:r w:rsidRPr="00B07B48">
        <w:rPr>
          <w:rFonts w:ascii="Trebuchet MS" w:hAnsi="Trebuchet MS" w:cstheme="minorHAnsi"/>
          <w:i/>
          <w:iCs/>
          <w:sz w:val="24"/>
          <w:szCs w:val="24"/>
        </w:rPr>
        <w:t>taklif</w:t>
      </w:r>
      <w:r>
        <w:rPr>
          <w:rFonts w:ascii="Trebuchet MS" w:hAnsi="Trebuchet MS" w:cstheme="minorHAnsi"/>
          <w:sz w:val="24"/>
          <w:szCs w:val="24"/>
        </w:rPr>
        <w:t xml:space="preserve"> syar’i, (2) beliau menghindari melakukan sesuatu karena khawatir akan diwajibkan bagi umatnya, dan (3) beliau menolak menjawab sebagian persoalan karena khawatir akan memberatkan umatnya.</w:t>
      </w:r>
      <w:r>
        <w:rPr>
          <w:rStyle w:val="FootnoteReference"/>
          <w:rFonts w:ascii="Trebuchet MS" w:hAnsi="Trebuchet MS" w:cstheme="minorHAnsi"/>
          <w:sz w:val="24"/>
          <w:szCs w:val="24"/>
        </w:rPr>
        <w:footnoteReference w:id="12"/>
      </w:r>
      <w:r>
        <w:rPr>
          <w:rFonts w:ascii="Trebuchet MS" w:hAnsi="Trebuchet MS" w:cstheme="minorHAnsi"/>
          <w:sz w:val="24"/>
          <w:szCs w:val="24"/>
        </w:rPr>
        <w:t xml:space="preserve"> Kasih sayang diletakkan pada urutan pertama dari akhlak Nabi Saw yang menunjukkan  begitu jelasnya keberadaan akhlak ini pada perilaku keseharian beliau dan ajaran Islam yang didakwahkannya. Akhlak kasih sayang mengajarkan “kebajikan plus” karena dengan akhlak ini kita dituntut untuk mampu lebih bersemangat membalas kebaikan orang lain secara tulus dan memaafkan kesalahannya secara </w:t>
      </w:r>
      <w:r w:rsidRPr="00405342">
        <w:rPr>
          <w:rFonts w:ascii="Trebuchet MS" w:hAnsi="Trebuchet MS" w:cstheme="minorHAnsi"/>
          <w:i/>
          <w:iCs/>
          <w:sz w:val="24"/>
          <w:szCs w:val="24"/>
        </w:rPr>
        <w:t>legowo</w:t>
      </w:r>
      <w:r>
        <w:rPr>
          <w:rFonts w:ascii="Trebuchet MS" w:hAnsi="Trebuchet MS" w:cstheme="minorHAnsi"/>
          <w:sz w:val="24"/>
          <w:szCs w:val="24"/>
        </w:rPr>
        <w:t>.</w:t>
      </w:r>
      <w:r>
        <w:rPr>
          <w:rStyle w:val="FootnoteReference"/>
          <w:rFonts w:ascii="Trebuchet MS" w:hAnsi="Trebuchet MS" w:cstheme="minorHAnsi"/>
          <w:sz w:val="24"/>
          <w:szCs w:val="24"/>
        </w:rPr>
        <w:footnoteReference w:id="13"/>
      </w:r>
      <w:r>
        <w:rPr>
          <w:rFonts w:ascii="Trebuchet MS" w:hAnsi="Trebuchet MS" w:cstheme="minorHAnsi"/>
          <w:sz w:val="24"/>
          <w:szCs w:val="24"/>
        </w:rPr>
        <w:t xml:space="preserve"> Dengan memperhatikan bukti kuat akhlak kasih sayang Nabi tersebut, setidaknya terdapat tiga hal yang bisa diambil </w:t>
      </w:r>
      <w:r>
        <w:rPr>
          <w:rFonts w:ascii="Trebuchet MS" w:hAnsi="Trebuchet MS" w:cstheme="minorHAnsi"/>
          <w:sz w:val="24"/>
          <w:szCs w:val="24"/>
        </w:rPr>
        <w:lastRenderedPageBreak/>
        <w:t xml:space="preserve">pelajaran untuk diteladani, yakni (1) janganlah kita bersikap egoistik dengan hanya mementingkan diri sendiri dan abai terhadap kebaikan orang lain terlebih kalangan yang membutuhkan, (2) janganlah kita mudah menyalahkan, merendahkan, dan menzalimi orang lain, dan (3) upayakan segala sikap dan perilaku yang kita perbuat bisa memberi manfaat bagi kehidupan bersama. Tindak kekerasan atasnama agama atau atasnama “sesuatu yang diagamakan” boleh jadi adalah manifestasi ketidaksanggupan mengapresiasi akhlak kasih sayang dalam beragama. Padahal Nabi secara tegas pernah bersabda, “Barangsiapa yang tidak mengasihi, ia pun tidak akan dikasihi”, yang selain hal ini mempertegas akan pentingnya kasih sayang, juga mempertegas adanya prinsip moral atau kausalitas moral. </w:t>
      </w:r>
    </w:p>
    <w:p w:rsidR="00610EED" w:rsidRDefault="00610EED" w:rsidP="00610EED">
      <w:pPr>
        <w:spacing w:line="360" w:lineRule="auto"/>
        <w:rPr>
          <w:rFonts w:ascii="Trebuchet MS" w:hAnsi="Trebuchet MS" w:cstheme="minorHAnsi"/>
          <w:sz w:val="24"/>
          <w:szCs w:val="24"/>
        </w:rPr>
      </w:pPr>
      <w:r>
        <w:rPr>
          <w:rFonts w:ascii="Trebuchet MS" w:hAnsi="Trebuchet MS" w:cstheme="minorHAnsi"/>
          <w:sz w:val="24"/>
          <w:szCs w:val="24"/>
        </w:rPr>
        <w:t xml:space="preserve">Prinsip/kausalitas moral ini berlaku universal, artinya berlaku kapan pun, dimana pun, dan bagi siapa pun. Tanpa pandang bulu, seseorang yang meski berkulit hitam legam dan miskin papa sekalipun namun ia memiliki hati yang penuh kasih dan perilaku penyayang kepada sesama ---sesuai prinsip moral tadi--- niscaya ia akan dikasihi oleh Tuhan dan makhlukNya yang lain. Ibarat hukum alam, kausalitas moral pun berlaku “pasti” sehingga manakala sebab-sebab moralnya terpenuhi, maka akibatnya akan terjadi. Sesuai hukum alam gravitasi, seseorang yang memanjat pohon tinggi dengan sembrono, ketika terpelanting maka ia akan terjatuh ke bawah dan bisa saja kepala membentur batu. Akibatnya langsung dirasakan, yaitu gegar otak dan luka parah. Itulah ilustrasi keberlakuan hukum alam yang </w:t>
      </w:r>
      <w:r w:rsidRPr="00CF02A0">
        <w:rPr>
          <w:rFonts w:ascii="Trebuchet MS" w:hAnsi="Trebuchet MS" w:cstheme="minorHAnsi"/>
          <w:i/>
          <w:iCs/>
          <w:sz w:val="24"/>
          <w:szCs w:val="24"/>
        </w:rPr>
        <w:t>time respond</w:t>
      </w:r>
      <w:r>
        <w:rPr>
          <w:rFonts w:ascii="Trebuchet MS" w:hAnsi="Trebuchet MS" w:cstheme="minorHAnsi"/>
          <w:sz w:val="24"/>
          <w:szCs w:val="24"/>
        </w:rPr>
        <w:t xml:space="preserve">-nya sangat mungkin seketika. Sementara itu, keberlakuan hukum moral boleh jadi </w:t>
      </w:r>
      <w:r w:rsidRPr="00CF02A0">
        <w:rPr>
          <w:rFonts w:ascii="Trebuchet MS" w:hAnsi="Trebuchet MS" w:cstheme="minorHAnsi"/>
          <w:i/>
          <w:iCs/>
          <w:sz w:val="24"/>
          <w:szCs w:val="24"/>
        </w:rPr>
        <w:t>time respond</w:t>
      </w:r>
      <w:r>
        <w:rPr>
          <w:rFonts w:ascii="Trebuchet MS" w:hAnsi="Trebuchet MS" w:cstheme="minorHAnsi"/>
          <w:i/>
          <w:iCs/>
          <w:sz w:val="24"/>
          <w:szCs w:val="24"/>
        </w:rPr>
        <w:t>-</w:t>
      </w:r>
      <w:r>
        <w:rPr>
          <w:rFonts w:ascii="Trebuchet MS" w:hAnsi="Trebuchet MS" w:cstheme="minorHAnsi"/>
          <w:sz w:val="24"/>
          <w:szCs w:val="24"/>
        </w:rPr>
        <w:t xml:space="preserve">nya memerlukan waktu cukup lama meski bersifat “pasti”. Dalam sebuah hadis Nabi Saw pernah bersabda, “Berbaktilah kepada kedua orangtuamu, niscaya anak-anakmu akan berbakti kepadamu”. Hadis ini merupakan contoh lain dari prinsip/hukum moral yang mengandung kausalitas moral universal, yakni siapa pun orangnya yang bersedia berbakti kepada orangtuanya, maka anak-anaknya kelak akan berbakti kepadanya; kesediaan seseorang berbakti kepada kedua orangtua menjadi sebab yang akan menimbulkan akibat berupa lahirnya anak/keturunan yang mau berbakti. Hanya saja, </w:t>
      </w:r>
      <w:r w:rsidRPr="008311FC">
        <w:rPr>
          <w:rFonts w:ascii="Trebuchet MS" w:hAnsi="Trebuchet MS" w:cstheme="minorHAnsi"/>
          <w:i/>
          <w:iCs/>
          <w:sz w:val="24"/>
          <w:szCs w:val="24"/>
        </w:rPr>
        <w:t>time respond</w:t>
      </w:r>
      <w:r>
        <w:rPr>
          <w:rFonts w:ascii="Trebuchet MS" w:hAnsi="Trebuchet MS" w:cstheme="minorHAnsi"/>
          <w:sz w:val="24"/>
          <w:szCs w:val="24"/>
        </w:rPr>
        <w:t xml:space="preserve">-nya mungkin baru terjadi setelah 10, 15, atau 20 </w:t>
      </w:r>
      <w:r>
        <w:rPr>
          <w:rFonts w:ascii="Trebuchet MS" w:hAnsi="Trebuchet MS" w:cstheme="minorHAnsi"/>
          <w:sz w:val="24"/>
          <w:szCs w:val="24"/>
        </w:rPr>
        <w:lastRenderedPageBreak/>
        <w:t>tahun lagi. Inilah yang disebut dengan kebenaran etis yang sejatinya mempunyai regularitas dalam keberlakuannya sebagaimana kebenaran ilmiah.</w:t>
      </w:r>
    </w:p>
    <w:p w:rsidR="00610EED" w:rsidRDefault="00610EED" w:rsidP="00610EED">
      <w:pPr>
        <w:ind w:firstLine="0"/>
        <w:rPr>
          <w:rFonts w:ascii="Trebuchet MS" w:hAnsi="Trebuchet MS" w:cs="Times New Roman"/>
          <w:sz w:val="24"/>
          <w:szCs w:val="24"/>
        </w:rPr>
      </w:pPr>
      <w:r>
        <w:tab/>
      </w:r>
      <w:r w:rsidRPr="00760B38">
        <w:rPr>
          <w:rFonts w:ascii="Trebuchet MS" w:hAnsi="Trebuchet MS" w:cs="Times New Roman"/>
          <w:sz w:val="24"/>
          <w:szCs w:val="24"/>
        </w:rPr>
        <w:t xml:space="preserve">Prinsip kasih sayang dapat </w:t>
      </w:r>
      <w:r>
        <w:rPr>
          <w:rFonts w:ascii="Trebuchet MS" w:hAnsi="Trebuchet MS" w:cs="Times New Roman"/>
          <w:sz w:val="24"/>
          <w:szCs w:val="24"/>
        </w:rPr>
        <w:t>diupayakan melalui</w:t>
      </w:r>
      <w:r w:rsidRPr="00760B38">
        <w:rPr>
          <w:rFonts w:ascii="Trebuchet MS" w:hAnsi="Trebuchet MS" w:cs="Times New Roman"/>
          <w:sz w:val="24"/>
          <w:szCs w:val="24"/>
        </w:rPr>
        <w:t xml:space="preserve"> kegiatan pendidikan yang </w:t>
      </w:r>
      <w:r>
        <w:rPr>
          <w:rFonts w:ascii="Trebuchet MS" w:hAnsi="Trebuchet MS" w:cs="Times New Roman"/>
          <w:sz w:val="24"/>
          <w:szCs w:val="24"/>
        </w:rPr>
        <w:t>mengombinasikan proses pe</w:t>
      </w:r>
      <w:r w:rsidRPr="00760B38">
        <w:rPr>
          <w:rFonts w:ascii="Trebuchet MS" w:hAnsi="Trebuchet MS" w:cs="Times New Roman"/>
          <w:sz w:val="24"/>
          <w:szCs w:val="24"/>
        </w:rPr>
        <w:t xml:space="preserve">laksanaan secara serius </w:t>
      </w:r>
      <w:r>
        <w:rPr>
          <w:rFonts w:ascii="Trebuchet MS" w:hAnsi="Trebuchet MS" w:cs="Times New Roman"/>
          <w:sz w:val="24"/>
          <w:szCs w:val="24"/>
        </w:rPr>
        <w:t>dengan</w:t>
      </w:r>
      <w:r w:rsidRPr="00760B38">
        <w:rPr>
          <w:rFonts w:ascii="Trebuchet MS" w:hAnsi="Trebuchet MS" w:cs="Times New Roman"/>
          <w:sz w:val="24"/>
          <w:szCs w:val="24"/>
        </w:rPr>
        <w:t xml:space="preserve"> </w:t>
      </w:r>
      <w:r>
        <w:rPr>
          <w:rFonts w:ascii="Trebuchet MS" w:hAnsi="Trebuchet MS" w:cs="Times New Roman"/>
          <w:sz w:val="24"/>
          <w:szCs w:val="24"/>
        </w:rPr>
        <w:t xml:space="preserve">proses </w:t>
      </w:r>
      <w:r w:rsidRPr="00760B38">
        <w:rPr>
          <w:rFonts w:ascii="Trebuchet MS" w:hAnsi="Trebuchet MS" w:cs="Times New Roman"/>
          <w:sz w:val="24"/>
          <w:szCs w:val="24"/>
        </w:rPr>
        <w:t>rileksasi. Dalam pelbagai riwayat hadis, aktivitas pendidikan yang dicontohkan oleh Nabi Saw meliputi aktivitas rileks</w:t>
      </w:r>
      <w:r>
        <w:rPr>
          <w:rFonts w:ascii="Trebuchet MS" w:hAnsi="Trebuchet MS" w:cs="Times New Roman"/>
          <w:sz w:val="24"/>
          <w:szCs w:val="24"/>
        </w:rPr>
        <w:t>asi untuk menyenangkan suasana batin</w:t>
      </w:r>
      <w:r w:rsidRPr="00760B38">
        <w:rPr>
          <w:rFonts w:ascii="Trebuchet MS" w:hAnsi="Trebuchet MS" w:cs="Times New Roman"/>
          <w:sz w:val="24"/>
          <w:szCs w:val="24"/>
        </w:rPr>
        <w:t xml:space="preserve"> (</w:t>
      </w:r>
      <w:r w:rsidRPr="00760B38">
        <w:rPr>
          <w:rFonts w:ascii="Trebuchet MS" w:hAnsi="Trebuchet MS" w:cs="Times New Roman"/>
          <w:i/>
          <w:iCs/>
          <w:sz w:val="24"/>
          <w:szCs w:val="24"/>
        </w:rPr>
        <w:t>nasyâth tarwîhî</w:t>
      </w:r>
      <w:r w:rsidRPr="00760B38">
        <w:rPr>
          <w:rFonts w:ascii="Trebuchet MS" w:hAnsi="Trebuchet MS" w:cs="Times New Roman"/>
          <w:sz w:val="24"/>
          <w:szCs w:val="24"/>
        </w:rPr>
        <w:t>) dan aktivitas pengajaran serius (</w:t>
      </w:r>
      <w:r w:rsidRPr="00760B38">
        <w:rPr>
          <w:rFonts w:ascii="Trebuchet MS" w:hAnsi="Trebuchet MS" w:cs="Times New Roman"/>
          <w:i/>
          <w:iCs/>
          <w:sz w:val="24"/>
          <w:szCs w:val="24"/>
        </w:rPr>
        <w:t>nasyâth ta’l</w:t>
      </w:r>
      <w:r>
        <w:rPr>
          <w:rFonts w:ascii="Trebuchet MS" w:hAnsi="Trebuchet MS" w:cs="Times New Roman"/>
          <w:i/>
          <w:iCs/>
          <w:sz w:val="24"/>
          <w:szCs w:val="24"/>
        </w:rPr>
        <w:t>î</w:t>
      </w:r>
      <w:r w:rsidRPr="00760B38">
        <w:rPr>
          <w:rFonts w:ascii="Trebuchet MS" w:hAnsi="Trebuchet MS" w:cs="Times New Roman"/>
          <w:i/>
          <w:iCs/>
          <w:sz w:val="24"/>
          <w:szCs w:val="24"/>
        </w:rPr>
        <w:t>mi</w:t>
      </w:r>
      <w:r w:rsidRPr="00760B38">
        <w:rPr>
          <w:rFonts w:ascii="Trebuchet MS" w:hAnsi="Trebuchet MS" w:cs="Times New Roman"/>
          <w:sz w:val="24"/>
          <w:szCs w:val="24"/>
        </w:rPr>
        <w:t>).</w:t>
      </w:r>
      <w:r w:rsidRPr="00760B38">
        <w:rPr>
          <w:rStyle w:val="FootnoteReference"/>
          <w:rFonts w:ascii="Trebuchet MS" w:hAnsi="Trebuchet MS" w:cs="Times New Roman"/>
          <w:sz w:val="24"/>
          <w:szCs w:val="24"/>
        </w:rPr>
        <w:footnoteReference w:id="14"/>
      </w:r>
      <w:r w:rsidRPr="00760B38">
        <w:rPr>
          <w:rFonts w:ascii="Trebuchet MS" w:hAnsi="Trebuchet MS" w:cs="Times New Roman"/>
          <w:sz w:val="24"/>
          <w:szCs w:val="24"/>
        </w:rPr>
        <w:t xml:space="preserve"> Dengan demikian, praktik pendidikan Nabi </w:t>
      </w:r>
      <w:r>
        <w:rPr>
          <w:rFonts w:ascii="Trebuchet MS" w:hAnsi="Trebuchet MS" w:cs="Times New Roman"/>
          <w:sz w:val="24"/>
          <w:szCs w:val="24"/>
        </w:rPr>
        <w:t>tidak hanya mementingkan</w:t>
      </w:r>
      <w:r w:rsidRPr="00760B38">
        <w:rPr>
          <w:rFonts w:ascii="Trebuchet MS" w:hAnsi="Trebuchet MS" w:cs="Times New Roman"/>
          <w:sz w:val="24"/>
          <w:szCs w:val="24"/>
        </w:rPr>
        <w:t xml:space="preserve"> </w:t>
      </w:r>
      <w:r>
        <w:rPr>
          <w:rFonts w:ascii="Trebuchet MS" w:hAnsi="Trebuchet MS" w:cs="Times New Roman"/>
          <w:sz w:val="24"/>
          <w:szCs w:val="24"/>
        </w:rPr>
        <w:t>keseriusan dalam rangka upaya pengajaran, melainkan juga memperhatikan keceriaan suasana batin. Sebab, kejenuhan, kebosanan, keterpaksaan diri, dan ketertekanan batin akan berpengaruh negatif terhadap proses kegiatan pendidikan yang dijalani peserta didik sehingga tidak mampu membuahkan hasil belajar seperti yang diharapkan.</w:t>
      </w:r>
      <w:r w:rsidRPr="00760B38">
        <w:rPr>
          <w:rFonts w:ascii="Trebuchet MS" w:hAnsi="Trebuchet MS" w:cs="Times New Roman"/>
          <w:sz w:val="24"/>
          <w:szCs w:val="24"/>
        </w:rPr>
        <w:t xml:space="preserve"> </w:t>
      </w:r>
      <w:r>
        <w:rPr>
          <w:rFonts w:ascii="Trebuchet MS" w:hAnsi="Trebuchet MS" w:cs="Times New Roman"/>
          <w:sz w:val="24"/>
          <w:szCs w:val="24"/>
        </w:rPr>
        <w:t>Keceriaan suasana batin berguna untuk memompa semangat peserta didik dan sekaligus menstimuli kelancaran aktivitas psikis dalam mencerna apa yang diterima selama proses kegiatan pendidikan. Peserta didik bukanlah robot yang berjalan secara mekanistis; ia adalah individu manusiawi yang memiliki perasaan, kemauan, dan kesadaran. Humanisasi menuntut</w:t>
      </w:r>
      <w:r w:rsidRPr="00B1381C">
        <w:rPr>
          <w:rFonts w:ascii="Trebuchet MS" w:hAnsi="Trebuchet MS" w:cs="Times New Roman"/>
          <w:sz w:val="24"/>
          <w:szCs w:val="24"/>
        </w:rPr>
        <w:t xml:space="preserve"> </w:t>
      </w:r>
      <w:r>
        <w:rPr>
          <w:rFonts w:ascii="Trebuchet MS" w:hAnsi="Trebuchet MS" w:cs="Times New Roman"/>
          <w:sz w:val="24"/>
          <w:szCs w:val="24"/>
        </w:rPr>
        <w:t>kegiatan pendidikan untuk peduli pada sisi “kemanusiawian” peserta didik tersebut, bahkan peserta didik yang masih berupa anak kecil sekalipun. Sepantasnya, Nabi Saw pernah mengingatkan orangtua yang telah merenggut anaknya yang pipis dari gendongan beliau karena si orangtua tersebut takut jika pipis anaknya sampai mengotori baju beliau, “Kotornya bajuku masih bisa dibersihkan, namun tidak demikian dengan renggutanmu yang bisa mencemari jiwa anak ini”. Nabi sangat menekankan pentingnya kasih-sayang karena hal ini akan sangat berpengaruh terhadap pembentukan kepribadian anak/peserta didik. Pendidikan akhlak hanya akan berhasil jika berangkat dari landasan kasih-sayang termasuk stimulasi suasana batin peserta didik secara positif.</w:t>
      </w:r>
    </w:p>
    <w:p w:rsidR="001C30F7" w:rsidRDefault="001C30F7" w:rsidP="00610EED">
      <w:pPr>
        <w:ind w:firstLine="0"/>
        <w:rPr>
          <w:rFonts w:ascii="Trebuchet MS" w:hAnsi="Trebuchet MS" w:cs="Times New Roman"/>
          <w:sz w:val="24"/>
          <w:szCs w:val="24"/>
        </w:rPr>
      </w:pPr>
    </w:p>
    <w:p w:rsidR="001C30F7" w:rsidRPr="0083765F" w:rsidRDefault="001C30F7" w:rsidP="00610EED">
      <w:pPr>
        <w:ind w:firstLine="0"/>
        <w:rPr>
          <w:rFonts w:ascii="Trebuchet MS" w:hAnsi="Trebuchet MS" w:cs="Times New Roman"/>
          <w:b/>
          <w:bCs/>
          <w:sz w:val="24"/>
          <w:szCs w:val="24"/>
        </w:rPr>
      </w:pPr>
      <w:r w:rsidRPr="0083765F">
        <w:rPr>
          <w:rFonts w:ascii="Trebuchet MS" w:hAnsi="Trebuchet MS" w:cs="Times New Roman"/>
          <w:b/>
          <w:bCs/>
          <w:sz w:val="24"/>
          <w:szCs w:val="24"/>
        </w:rPr>
        <w:lastRenderedPageBreak/>
        <w:t>D. Penutup</w:t>
      </w:r>
    </w:p>
    <w:p w:rsidR="001C30F7" w:rsidRPr="001C30F7" w:rsidRDefault="001C30F7" w:rsidP="00610EED">
      <w:pPr>
        <w:ind w:firstLine="0"/>
        <w:rPr>
          <w:rFonts w:ascii="Trebuchet MS" w:hAnsi="Trebuchet MS" w:cstheme="minorHAnsi"/>
          <w:sz w:val="24"/>
          <w:szCs w:val="24"/>
          <w:lang w:val="en-US"/>
        </w:rPr>
      </w:pPr>
      <w:r w:rsidRPr="0083765F">
        <w:rPr>
          <w:rFonts w:ascii="Trebuchet MS" w:hAnsi="Trebuchet MS" w:cs="Times New Roman"/>
          <w:b/>
          <w:bCs/>
          <w:sz w:val="24"/>
          <w:szCs w:val="24"/>
        </w:rPr>
        <w:tab/>
      </w:r>
      <w:r w:rsidRPr="0083765F">
        <w:rPr>
          <w:rFonts w:ascii="Trebuchet MS" w:hAnsi="Trebuchet MS" w:cs="Times New Roman"/>
          <w:sz w:val="24"/>
          <w:szCs w:val="24"/>
        </w:rPr>
        <w:t>Karya Jabir al-Ulwani bisa menjadi pintu masuk upaya mengapresiasi spirit kasih-sayang (</w:t>
      </w:r>
      <w:r w:rsidRPr="0083765F">
        <w:rPr>
          <w:rFonts w:ascii="Trebuchet MS" w:hAnsi="Trebuchet MS" w:cs="Times New Roman"/>
          <w:i/>
          <w:iCs/>
          <w:sz w:val="24"/>
          <w:szCs w:val="24"/>
        </w:rPr>
        <w:t>rahmah</w:t>
      </w:r>
      <w:r w:rsidRPr="0083765F">
        <w:rPr>
          <w:rFonts w:ascii="Trebuchet MS" w:hAnsi="Trebuchet MS" w:cs="Times New Roman"/>
          <w:sz w:val="24"/>
          <w:szCs w:val="24"/>
        </w:rPr>
        <w:t xml:space="preserve">) ajaran Islam yang dalam banyak hal telah tertimbun oleh aneka tindak kekerasan atasnama agama. Pesan basis doctrinal yang disuarakan kembali dari hasil kajian tersebut perlu diaktualisasikan melalui proses edukasi anak dengan segala aspeknya dan dimulai sedini mungkin agar kelak bisa dihasilkan insan didik yang memiliki kepekaan dan kelembutan hati. </w:t>
      </w:r>
      <w:r>
        <w:rPr>
          <w:rFonts w:ascii="Trebuchet MS" w:hAnsi="Trebuchet MS" w:cs="Times New Roman"/>
          <w:sz w:val="24"/>
          <w:szCs w:val="24"/>
          <w:lang w:val="en-US"/>
        </w:rPr>
        <w:t xml:space="preserve">Semestinya, keberagamaan dan pendidikan kita secara serius dilandaskan pada ajaran universal agama </w:t>
      </w:r>
      <w:r w:rsidR="00747125">
        <w:rPr>
          <w:rFonts w:ascii="Trebuchet MS" w:hAnsi="Trebuchet MS" w:cs="Times New Roman"/>
          <w:sz w:val="24"/>
          <w:szCs w:val="24"/>
          <w:lang w:val="en-US"/>
        </w:rPr>
        <w:t xml:space="preserve">Islam </w:t>
      </w:r>
      <w:r>
        <w:rPr>
          <w:rFonts w:ascii="Trebuchet MS" w:hAnsi="Trebuchet MS" w:cs="Times New Roman"/>
          <w:sz w:val="24"/>
          <w:szCs w:val="24"/>
          <w:lang w:val="en-US"/>
        </w:rPr>
        <w:t xml:space="preserve">yang </w:t>
      </w:r>
      <w:r w:rsidRPr="001C30F7">
        <w:rPr>
          <w:rFonts w:ascii="Trebuchet MS" w:hAnsi="Trebuchet MS" w:cs="Times New Roman"/>
          <w:i/>
          <w:iCs/>
          <w:sz w:val="24"/>
          <w:szCs w:val="24"/>
          <w:lang w:val="en-US"/>
        </w:rPr>
        <w:t>rahmatan lil ‘alamin</w:t>
      </w:r>
      <w:r>
        <w:rPr>
          <w:rFonts w:ascii="Trebuchet MS" w:hAnsi="Trebuchet MS" w:cs="Times New Roman"/>
          <w:sz w:val="24"/>
          <w:szCs w:val="24"/>
          <w:lang w:val="en-US"/>
        </w:rPr>
        <w:t>.</w:t>
      </w:r>
    </w:p>
    <w:p w:rsidR="001E4092" w:rsidRPr="00610EED" w:rsidRDefault="001E4092">
      <w:pPr>
        <w:rPr>
          <w:sz w:val="24"/>
          <w:szCs w:val="24"/>
        </w:rPr>
      </w:pPr>
    </w:p>
    <w:sectPr w:rsidR="001E4092" w:rsidRPr="00610EED" w:rsidSect="0083765F">
      <w:footerReference w:type="default" r:id="rId6"/>
      <w:pgSz w:w="11906" w:h="16838"/>
      <w:pgMar w:top="1588" w:right="1701" w:bottom="1588" w:left="175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40C" w:rsidRDefault="0072640C" w:rsidP="00610EED">
      <w:pPr>
        <w:spacing w:line="240" w:lineRule="auto"/>
      </w:pPr>
      <w:r>
        <w:separator/>
      </w:r>
    </w:p>
  </w:endnote>
  <w:endnote w:type="continuationSeparator" w:id="0">
    <w:p w:rsidR="0072640C" w:rsidRDefault="0072640C" w:rsidP="00610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752658"/>
      <w:docPartObj>
        <w:docPartGallery w:val="Page Numbers (Bottom of Page)"/>
        <w:docPartUnique/>
      </w:docPartObj>
    </w:sdtPr>
    <w:sdtEndPr>
      <w:rPr>
        <w:noProof/>
      </w:rPr>
    </w:sdtEndPr>
    <w:sdtContent>
      <w:p w:rsidR="007A6378" w:rsidRDefault="007A6378">
        <w:pPr>
          <w:pStyle w:val="Footer"/>
          <w:jc w:val="center"/>
        </w:pPr>
        <w:r>
          <w:fldChar w:fldCharType="begin"/>
        </w:r>
        <w:r>
          <w:instrText xml:space="preserve"> PAGE   \* MERGEFORMAT </w:instrText>
        </w:r>
        <w:r>
          <w:fldChar w:fldCharType="separate"/>
        </w:r>
        <w:r w:rsidR="0083765F">
          <w:rPr>
            <w:noProof/>
          </w:rPr>
          <w:t>1</w:t>
        </w:r>
        <w:r>
          <w:rPr>
            <w:noProof/>
          </w:rPr>
          <w:fldChar w:fldCharType="end"/>
        </w:r>
      </w:p>
    </w:sdtContent>
  </w:sdt>
  <w:p w:rsidR="007A6378" w:rsidRDefault="007A6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40C" w:rsidRDefault="0072640C" w:rsidP="00610EED">
      <w:pPr>
        <w:spacing w:line="240" w:lineRule="auto"/>
      </w:pPr>
      <w:r>
        <w:separator/>
      </w:r>
    </w:p>
  </w:footnote>
  <w:footnote w:type="continuationSeparator" w:id="0">
    <w:p w:rsidR="0072640C" w:rsidRDefault="0072640C" w:rsidP="00610EED">
      <w:pPr>
        <w:spacing w:line="240" w:lineRule="auto"/>
      </w:pPr>
      <w:r>
        <w:continuationSeparator/>
      </w:r>
    </w:p>
  </w:footnote>
  <w:footnote w:id="1">
    <w:p w:rsidR="00610EED" w:rsidRDefault="00610EED" w:rsidP="00610EED">
      <w:pPr>
        <w:pStyle w:val="FootnoteText"/>
      </w:pPr>
      <w:r>
        <w:rPr>
          <w:rStyle w:val="FootnoteReference"/>
        </w:rPr>
        <w:footnoteRef/>
      </w:r>
      <w:r>
        <w:t xml:space="preserve"> Lihat hasil kajian Zainab Abdus Salam yang berjudul, </w:t>
      </w:r>
      <w:r>
        <w:rPr>
          <w:i/>
          <w:iCs/>
        </w:rPr>
        <w:t>‘In</w:t>
      </w:r>
      <w:r>
        <w:rPr>
          <w:rFonts w:cstheme="minorHAnsi"/>
          <w:i/>
          <w:iCs/>
        </w:rPr>
        <w:t>â</w:t>
      </w:r>
      <w:r w:rsidRPr="003675AD">
        <w:rPr>
          <w:i/>
          <w:iCs/>
        </w:rPr>
        <w:t>yat al-Qur’</w:t>
      </w:r>
      <w:r>
        <w:rPr>
          <w:rFonts w:cstheme="minorHAnsi"/>
          <w:i/>
          <w:iCs/>
        </w:rPr>
        <w:t>â</w:t>
      </w:r>
      <w:r w:rsidRPr="003675AD">
        <w:rPr>
          <w:i/>
          <w:iCs/>
        </w:rPr>
        <w:t>n bi Huq</w:t>
      </w:r>
      <w:r>
        <w:rPr>
          <w:rFonts w:cstheme="minorHAnsi"/>
          <w:i/>
          <w:iCs/>
        </w:rPr>
        <w:t>â</w:t>
      </w:r>
      <w:r w:rsidRPr="003675AD">
        <w:rPr>
          <w:i/>
          <w:iCs/>
        </w:rPr>
        <w:t>q al-Ins</w:t>
      </w:r>
      <w:r>
        <w:rPr>
          <w:rFonts w:cstheme="minorHAnsi"/>
          <w:i/>
          <w:iCs/>
        </w:rPr>
        <w:t>â</w:t>
      </w:r>
      <w:r w:rsidRPr="003675AD">
        <w:rPr>
          <w:i/>
          <w:iCs/>
        </w:rPr>
        <w:t>n: Dir</w:t>
      </w:r>
      <w:r>
        <w:rPr>
          <w:rFonts w:cstheme="minorHAnsi"/>
          <w:i/>
          <w:iCs/>
        </w:rPr>
        <w:t>â</w:t>
      </w:r>
      <w:r w:rsidRPr="003675AD">
        <w:rPr>
          <w:i/>
          <w:iCs/>
        </w:rPr>
        <w:t>sah Maudl</w:t>
      </w:r>
      <w:r>
        <w:rPr>
          <w:rFonts w:cstheme="minorHAnsi"/>
          <w:i/>
          <w:iCs/>
        </w:rPr>
        <w:t>û</w:t>
      </w:r>
      <w:r w:rsidRPr="003675AD">
        <w:rPr>
          <w:i/>
          <w:iCs/>
        </w:rPr>
        <w:t>iyyah wa Fiqhiyyah</w:t>
      </w:r>
      <w:r w:rsidRPr="00FD64C9">
        <w:t>, 2 jilid, Kairo: Dar al-Hadits, 2010.</w:t>
      </w:r>
    </w:p>
  </w:footnote>
  <w:footnote w:id="2">
    <w:p w:rsidR="00610EED" w:rsidRDefault="00610EED" w:rsidP="00610EED">
      <w:pPr>
        <w:pStyle w:val="FootnoteText"/>
      </w:pPr>
      <w:r>
        <w:rPr>
          <w:rStyle w:val="FootnoteReference"/>
        </w:rPr>
        <w:footnoteRef/>
      </w:r>
      <w:r>
        <w:t xml:space="preserve"> </w:t>
      </w:r>
      <w:r w:rsidRPr="008B7EB1">
        <w:rPr>
          <w:i/>
          <w:iCs/>
        </w:rPr>
        <w:t>Ibid</w:t>
      </w:r>
      <w:r>
        <w:t>., hlm.147.</w:t>
      </w:r>
    </w:p>
  </w:footnote>
  <w:footnote w:id="3">
    <w:p w:rsidR="00610EED" w:rsidRDefault="00610EED" w:rsidP="00610EED">
      <w:pPr>
        <w:pStyle w:val="FootnoteText"/>
      </w:pPr>
      <w:r>
        <w:rPr>
          <w:rStyle w:val="FootnoteReference"/>
        </w:rPr>
        <w:footnoteRef/>
      </w:r>
      <w:r>
        <w:t xml:space="preserve"> Lihat Jamal al-Banna, </w:t>
      </w:r>
      <w:r w:rsidRPr="00F8395B">
        <w:rPr>
          <w:i/>
          <w:iCs/>
        </w:rPr>
        <w:t>Manifesto Fiqih Baru 3</w:t>
      </w:r>
      <w:r>
        <w:rPr>
          <w:i/>
          <w:iCs/>
        </w:rPr>
        <w:t>: Memahami Paradigma Fiqih Moderat</w:t>
      </w:r>
      <w:r>
        <w:t>, terj. Hasibullah Satrawi dan Zuhairi Misrawi, (Jakarta: Erlangga, 2008), hlm.36.</w:t>
      </w:r>
    </w:p>
  </w:footnote>
  <w:footnote w:id="4">
    <w:p w:rsidR="00610EED" w:rsidRDefault="00610EED" w:rsidP="00610EED">
      <w:pPr>
        <w:pStyle w:val="FootnoteText"/>
      </w:pPr>
      <w:r>
        <w:rPr>
          <w:rStyle w:val="FootnoteReference"/>
        </w:rPr>
        <w:footnoteRef/>
      </w:r>
      <w:r>
        <w:t xml:space="preserve"> M. Abid al-Jabiri, </w:t>
      </w:r>
      <w:r w:rsidRPr="00280520">
        <w:rPr>
          <w:i/>
          <w:iCs/>
        </w:rPr>
        <w:t>al-Dimuqrathiyyah wa Huq</w:t>
      </w:r>
      <w:r w:rsidRPr="00280520">
        <w:rPr>
          <w:rFonts w:cstheme="minorHAnsi"/>
          <w:i/>
          <w:iCs/>
        </w:rPr>
        <w:t>û</w:t>
      </w:r>
      <w:r w:rsidRPr="00280520">
        <w:rPr>
          <w:i/>
          <w:iCs/>
        </w:rPr>
        <w:t>q al-Ins</w:t>
      </w:r>
      <w:r w:rsidRPr="00280520">
        <w:rPr>
          <w:rFonts w:cstheme="minorHAnsi"/>
          <w:i/>
          <w:iCs/>
        </w:rPr>
        <w:t>â</w:t>
      </w:r>
      <w:r w:rsidRPr="00280520">
        <w:rPr>
          <w:i/>
          <w:iCs/>
        </w:rPr>
        <w:t>n</w:t>
      </w:r>
      <w:r>
        <w:t xml:space="preserve">, (Beirut: Markaz Dirasat al-Wahdah al-‘Arabiyyah, 1994), hlm.186. </w:t>
      </w:r>
    </w:p>
  </w:footnote>
  <w:footnote w:id="5">
    <w:p w:rsidR="00610EED" w:rsidRDefault="00610EED" w:rsidP="00610EED">
      <w:pPr>
        <w:pStyle w:val="FootnoteText"/>
      </w:pPr>
      <w:r>
        <w:rPr>
          <w:rStyle w:val="FootnoteReference"/>
        </w:rPr>
        <w:footnoteRef/>
      </w:r>
      <w:r>
        <w:t xml:space="preserve"> Lihat kritik yang ditujukan oleh Jamal al-Bann</w:t>
      </w:r>
      <w:r>
        <w:rPr>
          <w:rFonts w:cstheme="minorHAnsi"/>
        </w:rPr>
        <w:t>â</w:t>
      </w:r>
      <w:r>
        <w:t xml:space="preserve"> terhadap pendapat Imam Ibnu Hazm, dalam Jamal al-Banna, </w:t>
      </w:r>
      <w:r w:rsidRPr="00F8395B">
        <w:rPr>
          <w:i/>
          <w:iCs/>
        </w:rPr>
        <w:t>Manifesto Fiqih Baru 3</w:t>
      </w:r>
      <w:r>
        <w:t>, hlm.30.</w:t>
      </w:r>
    </w:p>
  </w:footnote>
  <w:footnote w:id="6">
    <w:p w:rsidR="00610EED" w:rsidRDefault="00610EED" w:rsidP="00610EED">
      <w:pPr>
        <w:pStyle w:val="FootnoteText"/>
      </w:pPr>
      <w:r>
        <w:rPr>
          <w:rStyle w:val="FootnoteReference"/>
        </w:rPr>
        <w:footnoteRef/>
      </w:r>
      <w:r>
        <w:t xml:space="preserve"> M. Said al-‘Asymawi, </w:t>
      </w:r>
      <w:r w:rsidRPr="009D1E07">
        <w:rPr>
          <w:i/>
          <w:iCs/>
        </w:rPr>
        <w:t>al-‘Aql fi al-Isl</w:t>
      </w:r>
      <w:r w:rsidRPr="009D1E07">
        <w:rPr>
          <w:rFonts w:cstheme="minorHAnsi"/>
          <w:i/>
          <w:iCs/>
        </w:rPr>
        <w:t>â</w:t>
      </w:r>
      <w:r w:rsidRPr="009D1E07">
        <w:rPr>
          <w:i/>
          <w:iCs/>
        </w:rPr>
        <w:t>m</w:t>
      </w:r>
      <w:r>
        <w:t xml:space="preserve"> (Beirut: al-Intisyar al-‘Arabi, 2004), hlm.43-53.</w:t>
      </w:r>
    </w:p>
  </w:footnote>
  <w:footnote w:id="7">
    <w:p w:rsidR="00610EED" w:rsidRDefault="00610EED" w:rsidP="00610EED">
      <w:pPr>
        <w:pStyle w:val="FootnoteText"/>
      </w:pPr>
      <w:r>
        <w:rPr>
          <w:rStyle w:val="FootnoteReference"/>
        </w:rPr>
        <w:footnoteRef/>
      </w:r>
      <w:r>
        <w:t xml:space="preserve"> Al-Banna, </w:t>
      </w:r>
      <w:r w:rsidRPr="00B91E74">
        <w:rPr>
          <w:i/>
          <w:iCs/>
        </w:rPr>
        <w:t>Manifesto Fiqih Baru 3</w:t>
      </w:r>
      <w:r>
        <w:t>, hlm.36.</w:t>
      </w:r>
    </w:p>
  </w:footnote>
  <w:footnote w:id="8">
    <w:p w:rsidR="00610EED" w:rsidRDefault="00610EED" w:rsidP="00610EED">
      <w:pPr>
        <w:pStyle w:val="FootnoteText"/>
      </w:pPr>
      <w:r>
        <w:rPr>
          <w:rStyle w:val="FootnoteReference"/>
        </w:rPr>
        <w:footnoteRef/>
      </w:r>
      <w:r>
        <w:t xml:space="preserve"> Lihat Abd A’la, “Pengembangan Fiqh Minoritas, Representasi Islam yang Menyejarah” dalam A. Imam Mawardi, </w:t>
      </w:r>
      <w:r w:rsidRPr="004A1F66">
        <w:rPr>
          <w:i/>
          <w:iCs/>
        </w:rPr>
        <w:t>Fiqih Minoritas: Fiqh al-Aqalliyat dan Evolusi Maqashid al-Syariah dari Konsep ke Pendekatan</w:t>
      </w:r>
      <w:r>
        <w:t xml:space="preserve"> (Yogyakarta: LKiS, 2010), hlm.ix.</w:t>
      </w:r>
    </w:p>
  </w:footnote>
  <w:footnote w:id="9">
    <w:p w:rsidR="00610EED" w:rsidRDefault="00610EED" w:rsidP="00610EED">
      <w:pPr>
        <w:pStyle w:val="FootnoteText"/>
      </w:pPr>
      <w:r>
        <w:rPr>
          <w:rStyle w:val="FootnoteReference"/>
        </w:rPr>
        <w:footnoteRef/>
      </w:r>
      <w:r>
        <w:t xml:space="preserve"> Apokaliptisisme adalah paham menganggap diri sebagai pasukan pembela Tuhan yang dituntut untuk terus berjuang memerangi musuh-musuhNya tanpa kenal ampun kendati harus menempuh tindak kekerasan. Sebab, jika hal ini tidak dilakukan, maka justru musuh-musuhNya itulah yang akan balik melibas pasukan pembelaNya.</w:t>
      </w:r>
    </w:p>
  </w:footnote>
  <w:footnote w:id="10">
    <w:p w:rsidR="00610EED" w:rsidRDefault="00610EED" w:rsidP="00610EED">
      <w:pPr>
        <w:pStyle w:val="FootnoteText"/>
      </w:pPr>
      <w:r>
        <w:rPr>
          <w:rStyle w:val="FootnoteReference"/>
        </w:rPr>
        <w:footnoteRef/>
      </w:r>
      <w:r>
        <w:t xml:space="preserve"> Sa’id al-‘Asymawi, </w:t>
      </w:r>
      <w:r w:rsidRPr="0078212D">
        <w:rPr>
          <w:i/>
          <w:iCs/>
        </w:rPr>
        <w:t>Jauhar al-Isl</w:t>
      </w:r>
      <w:r w:rsidRPr="0078212D">
        <w:rPr>
          <w:rFonts w:cstheme="minorHAnsi"/>
          <w:i/>
          <w:iCs/>
        </w:rPr>
        <w:t>â</w:t>
      </w:r>
      <w:r w:rsidRPr="0078212D">
        <w:rPr>
          <w:i/>
          <w:iCs/>
        </w:rPr>
        <w:t>m</w:t>
      </w:r>
      <w:r>
        <w:t xml:space="preserve"> (Beirut: al-Intisy</w:t>
      </w:r>
      <w:r>
        <w:rPr>
          <w:rFonts w:cstheme="minorHAnsi"/>
        </w:rPr>
        <w:t>â</w:t>
      </w:r>
      <w:r>
        <w:t>r al-‘Arabi, 2004), hlm.28-29.</w:t>
      </w:r>
    </w:p>
  </w:footnote>
  <w:footnote w:id="11">
    <w:p w:rsidR="00610EED" w:rsidRDefault="00610EED" w:rsidP="00610EED">
      <w:pPr>
        <w:pStyle w:val="FootnoteText"/>
      </w:pPr>
      <w:r>
        <w:rPr>
          <w:rStyle w:val="FootnoteReference"/>
        </w:rPr>
        <w:footnoteRef/>
      </w:r>
      <w:r>
        <w:t xml:space="preserve"> Ahmad Fak</w:t>
      </w:r>
      <w:r>
        <w:rPr>
          <w:rFonts w:cstheme="minorHAnsi"/>
        </w:rPr>
        <w:t>î</w:t>
      </w:r>
      <w:r>
        <w:t xml:space="preserve">r, </w:t>
      </w:r>
      <w:r w:rsidRPr="00C44E47">
        <w:rPr>
          <w:i/>
          <w:iCs/>
        </w:rPr>
        <w:t>Qabasun min al-Akhl</w:t>
      </w:r>
      <w:r w:rsidRPr="00C44E47">
        <w:rPr>
          <w:rFonts w:cstheme="minorHAnsi"/>
          <w:i/>
          <w:iCs/>
        </w:rPr>
        <w:t>â</w:t>
      </w:r>
      <w:r w:rsidRPr="00C44E47">
        <w:rPr>
          <w:i/>
          <w:iCs/>
        </w:rPr>
        <w:t>q al-Nabawiyah</w:t>
      </w:r>
      <w:r>
        <w:t xml:space="preserve"> (Kairo: Dar al-Salam, 2007), hlm.29-30.</w:t>
      </w:r>
    </w:p>
  </w:footnote>
  <w:footnote w:id="12">
    <w:p w:rsidR="00610EED" w:rsidRDefault="00610EED" w:rsidP="00610EED">
      <w:pPr>
        <w:pStyle w:val="FootnoteText"/>
      </w:pPr>
      <w:r>
        <w:rPr>
          <w:rStyle w:val="FootnoteReference"/>
        </w:rPr>
        <w:footnoteRef/>
      </w:r>
      <w:r>
        <w:t xml:space="preserve"> Ahmad Fakir, </w:t>
      </w:r>
      <w:r>
        <w:rPr>
          <w:i/>
          <w:iCs/>
        </w:rPr>
        <w:t>Qabasun min al-Akhl</w:t>
      </w:r>
      <w:r>
        <w:rPr>
          <w:rFonts w:cstheme="minorHAnsi"/>
          <w:i/>
          <w:iCs/>
        </w:rPr>
        <w:t>â</w:t>
      </w:r>
      <w:r w:rsidRPr="0044161A">
        <w:rPr>
          <w:i/>
          <w:iCs/>
        </w:rPr>
        <w:t>q</w:t>
      </w:r>
      <w:r>
        <w:t>, hal.33.</w:t>
      </w:r>
    </w:p>
  </w:footnote>
  <w:footnote w:id="13">
    <w:p w:rsidR="00610EED" w:rsidRDefault="00610EED" w:rsidP="00610EED">
      <w:pPr>
        <w:pStyle w:val="FootnoteText"/>
      </w:pPr>
      <w:r>
        <w:rPr>
          <w:rStyle w:val="FootnoteReference"/>
        </w:rPr>
        <w:footnoteRef/>
      </w:r>
      <w:r>
        <w:t xml:space="preserve"> M. Jawwad Mughniyah, </w:t>
      </w:r>
      <w:r>
        <w:rPr>
          <w:i/>
          <w:iCs/>
        </w:rPr>
        <w:t>Falsafat al-Akhl</w:t>
      </w:r>
      <w:r>
        <w:rPr>
          <w:rFonts w:cstheme="minorHAnsi"/>
          <w:i/>
          <w:iCs/>
        </w:rPr>
        <w:t>â</w:t>
      </w:r>
      <w:r>
        <w:rPr>
          <w:i/>
          <w:iCs/>
        </w:rPr>
        <w:t>q fi al-Isl</w:t>
      </w:r>
      <w:r>
        <w:rPr>
          <w:rFonts w:cstheme="minorHAnsi"/>
          <w:i/>
          <w:iCs/>
        </w:rPr>
        <w:t>â</w:t>
      </w:r>
      <w:r w:rsidRPr="00405342">
        <w:rPr>
          <w:i/>
          <w:iCs/>
        </w:rPr>
        <w:t>m</w:t>
      </w:r>
      <w:r>
        <w:t xml:space="preserve"> (Ttp: Mu’asasat Dar al-Kitab al-Islami, 2007), hal.244.</w:t>
      </w:r>
    </w:p>
  </w:footnote>
  <w:footnote w:id="14">
    <w:p w:rsidR="00610EED" w:rsidRDefault="00610EED" w:rsidP="00610EED">
      <w:pPr>
        <w:pStyle w:val="FootnoteText"/>
      </w:pPr>
      <w:r>
        <w:rPr>
          <w:rStyle w:val="FootnoteReference"/>
        </w:rPr>
        <w:footnoteRef/>
      </w:r>
      <w:r>
        <w:t xml:space="preserve"> Abdurrahman al-Nahlawi, </w:t>
      </w:r>
      <w:r w:rsidRPr="007F2166">
        <w:rPr>
          <w:i/>
          <w:iCs/>
        </w:rPr>
        <w:t>Ush</w:t>
      </w:r>
      <w:r>
        <w:rPr>
          <w:rFonts w:cstheme="minorHAnsi"/>
          <w:i/>
          <w:iCs/>
        </w:rPr>
        <w:t>û</w:t>
      </w:r>
      <w:r>
        <w:rPr>
          <w:i/>
          <w:iCs/>
        </w:rPr>
        <w:t>l al-Tarbiyah al-Isl</w:t>
      </w:r>
      <w:r>
        <w:rPr>
          <w:rFonts w:cstheme="minorHAnsi"/>
          <w:i/>
          <w:iCs/>
        </w:rPr>
        <w:t>ā</w:t>
      </w:r>
      <w:r w:rsidRPr="007F2166">
        <w:rPr>
          <w:i/>
          <w:iCs/>
        </w:rPr>
        <w:t>miyyah wa As</w:t>
      </w:r>
      <w:r>
        <w:rPr>
          <w:rFonts w:cstheme="minorHAnsi"/>
          <w:i/>
          <w:iCs/>
        </w:rPr>
        <w:t>ā</w:t>
      </w:r>
      <w:r w:rsidRPr="007F2166">
        <w:rPr>
          <w:i/>
          <w:iCs/>
        </w:rPr>
        <w:t>libuha</w:t>
      </w:r>
      <w:r>
        <w:t xml:space="preserve"> (Beirut: Dar al-Fikr al-Mu’ashir, cet. II, 1983), hal.189.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10EED"/>
    <w:rsid w:val="00007AD3"/>
    <w:rsid w:val="00011AEB"/>
    <w:rsid w:val="00012FDB"/>
    <w:rsid w:val="000156C8"/>
    <w:rsid w:val="00027A51"/>
    <w:rsid w:val="000465CA"/>
    <w:rsid w:val="00047DA5"/>
    <w:rsid w:val="00051832"/>
    <w:rsid w:val="000617EF"/>
    <w:rsid w:val="00063A2D"/>
    <w:rsid w:val="00093619"/>
    <w:rsid w:val="000945C8"/>
    <w:rsid w:val="000B2894"/>
    <w:rsid w:val="000D63B2"/>
    <w:rsid w:val="000F05B2"/>
    <w:rsid w:val="000F2145"/>
    <w:rsid w:val="00110282"/>
    <w:rsid w:val="001624F8"/>
    <w:rsid w:val="001C30F7"/>
    <w:rsid w:val="001D79AB"/>
    <w:rsid w:val="001E12AB"/>
    <w:rsid w:val="001E4092"/>
    <w:rsid w:val="001E6012"/>
    <w:rsid w:val="0020119E"/>
    <w:rsid w:val="002B0645"/>
    <w:rsid w:val="002D1674"/>
    <w:rsid w:val="003146AD"/>
    <w:rsid w:val="00334D7C"/>
    <w:rsid w:val="00383B96"/>
    <w:rsid w:val="003932FD"/>
    <w:rsid w:val="003A1392"/>
    <w:rsid w:val="003B4FB1"/>
    <w:rsid w:val="00430A6E"/>
    <w:rsid w:val="0044646A"/>
    <w:rsid w:val="00446FA1"/>
    <w:rsid w:val="00487188"/>
    <w:rsid w:val="004C0931"/>
    <w:rsid w:val="004D7C64"/>
    <w:rsid w:val="004F3E6B"/>
    <w:rsid w:val="005B09D6"/>
    <w:rsid w:val="005D4E80"/>
    <w:rsid w:val="005F01A7"/>
    <w:rsid w:val="00607E8D"/>
    <w:rsid w:val="00610EED"/>
    <w:rsid w:val="006927DC"/>
    <w:rsid w:val="006B3890"/>
    <w:rsid w:val="006C50A9"/>
    <w:rsid w:val="006D02DE"/>
    <w:rsid w:val="0072640C"/>
    <w:rsid w:val="00747125"/>
    <w:rsid w:val="00782150"/>
    <w:rsid w:val="00784DD4"/>
    <w:rsid w:val="007A6378"/>
    <w:rsid w:val="007B71AC"/>
    <w:rsid w:val="007E626E"/>
    <w:rsid w:val="00805285"/>
    <w:rsid w:val="0083765F"/>
    <w:rsid w:val="00847C02"/>
    <w:rsid w:val="008935C2"/>
    <w:rsid w:val="008C1881"/>
    <w:rsid w:val="00921B8A"/>
    <w:rsid w:val="00936317"/>
    <w:rsid w:val="00980D83"/>
    <w:rsid w:val="00991838"/>
    <w:rsid w:val="009D0F17"/>
    <w:rsid w:val="009E3AF0"/>
    <w:rsid w:val="00A40CC3"/>
    <w:rsid w:val="00A62830"/>
    <w:rsid w:val="00A759DE"/>
    <w:rsid w:val="00A920A6"/>
    <w:rsid w:val="00AA597B"/>
    <w:rsid w:val="00AD4E12"/>
    <w:rsid w:val="00AE2090"/>
    <w:rsid w:val="00AE428D"/>
    <w:rsid w:val="00B72D7A"/>
    <w:rsid w:val="00B90698"/>
    <w:rsid w:val="00B93FE6"/>
    <w:rsid w:val="00BB4D3E"/>
    <w:rsid w:val="00BC1493"/>
    <w:rsid w:val="00BC2AD9"/>
    <w:rsid w:val="00C30A37"/>
    <w:rsid w:val="00C572C5"/>
    <w:rsid w:val="00C57E48"/>
    <w:rsid w:val="00C61E0B"/>
    <w:rsid w:val="00C74B2D"/>
    <w:rsid w:val="00D31262"/>
    <w:rsid w:val="00DB35D0"/>
    <w:rsid w:val="00E05C10"/>
    <w:rsid w:val="00E225BD"/>
    <w:rsid w:val="00E26522"/>
    <w:rsid w:val="00E3311A"/>
    <w:rsid w:val="00E344EC"/>
    <w:rsid w:val="00EA25E2"/>
    <w:rsid w:val="00EA35DD"/>
    <w:rsid w:val="00EC2E0A"/>
    <w:rsid w:val="00F32D5E"/>
    <w:rsid w:val="00F32D96"/>
    <w:rsid w:val="00F359B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9C98"/>
  <w15:docId w15:val="{8BD016E2-4927-4B39-B05C-A0454058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ED"/>
    <w:pPr>
      <w:spacing w:after="0" w:line="384" w:lineRule="auto"/>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0EED"/>
    <w:pPr>
      <w:spacing w:line="240" w:lineRule="auto"/>
    </w:pPr>
    <w:rPr>
      <w:sz w:val="20"/>
      <w:szCs w:val="20"/>
    </w:rPr>
  </w:style>
  <w:style w:type="character" w:customStyle="1" w:styleId="FootnoteTextChar">
    <w:name w:val="Footnote Text Char"/>
    <w:basedOn w:val="DefaultParagraphFont"/>
    <w:link w:val="FootnoteText"/>
    <w:uiPriority w:val="99"/>
    <w:semiHidden/>
    <w:rsid w:val="00610EED"/>
    <w:rPr>
      <w:sz w:val="20"/>
      <w:szCs w:val="20"/>
    </w:rPr>
  </w:style>
  <w:style w:type="character" w:styleId="FootnoteReference">
    <w:name w:val="footnote reference"/>
    <w:basedOn w:val="DefaultParagraphFont"/>
    <w:uiPriority w:val="99"/>
    <w:semiHidden/>
    <w:unhideWhenUsed/>
    <w:rsid w:val="00610EED"/>
    <w:rPr>
      <w:vertAlign w:val="superscript"/>
    </w:rPr>
  </w:style>
  <w:style w:type="paragraph" w:styleId="ListParagraph">
    <w:name w:val="List Paragraph"/>
    <w:basedOn w:val="Normal"/>
    <w:uiPriority w:val="34"/>
    <w:qFormat/>
    <w:rsid w:val="001C30F7"/>
    <w:pPr>
      <w:ind w:left="720"/>
      <w:contextualSpacing/>
    </w:pPr>
  </w:style>
  <w:style w:type="paragraph" w:styleId="Header">
    <w:name w:val="header"/>
    <w:basedOn w:val="Normal"/>
    <w:link w:val="HeaderChar"/>
    <w:uiPriority w:val="99"/>
    <w:unhideWhenUsed/>
    <w:rsid w:val="007A6378"/>
    <w:pPr>
      <w:tabs>
        <w:tab w:val="center" w:pos="4513"/>
        <w:tab w:val="right" w:pos="9026"/>
      </w:tabs>
      <w:spacing w:line="240" w:lineRule="auto"/>
    </w:pPr>
  </w:style>
  <w:style w:type="character" w:customStyle="1" w:styleId="HeaderChar">
    <w:name w:val="Header Char"/>
    <w:basedOn w:val="DefaultParagraphFont"/>
    <w:link w:val="Header"/>
    <w:uiPriority w:val="99"/>
    <w:rsid w:val="007A6378"/>
  </w:style>
  <w:style w:type="paragraph" w:styleId="Footer">
    <w:name w:val="footer"/>
    <w:basedOn w:val="Normal"/>
    <w:link w:val="FooterChar"/>
    <w:uiPriority w:val="99"/>
    <w:unhideWhenUsed/>
    <w:rsid w:val="007A6378"/>
    <w:pPr>
      <w:tabs>
        <w:tab w:val="center" w:pos="4513"/>
        <w:tab w:val="right" w:pos="9026"/>
      </w:tabs>
      <w:spacing w:line="240" w:lineRule="auto"/>
    </w:pPr>
  </w:style>
  <w:style w:type="character" w:customStyle="1" w:styleId="FooterChar">
    <w:name w:val="Footer Char"/>
    <w:basedOn w:val="DefaultParagraphFont"/>
    <w:link w:val="Footer"/>
    <w:uiPriority w:val="99"/>
    <w:rsid w:val="007A6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3141</Words>
  <Characters>17909</Characters>
  <Application>Microsoft Office Word</Application>
  <DocSecurity>0</DocSecurity>
  <Lines>149</Lines>
  <Paragraphs>42</Paragraphs>
  <ScaleCrop>false</ScaleCrop>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Mahmud</dc:creator>
  <cp:lastModifiedBy>HP</cp:lastModifiedBy>
  <cp:revision>7</cp:revision>
  <dcterms:created xsi:type="dcterms:W3CDTF">2014-10-30T03:40:00Z</dcterms:created>
  <dcterms:modified xsi:type="dcterms:W3CDTF">2020-05-08T08:21:00Z</dcterms:modified>
</cp:coreProperties>
</file>