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065F" w:rsidRDefault="00D55A50" w:rsidP="00031D03">
      <w:pPr>
        <w:spacing w:line="480" w:lineRule="auto"/>
        <w:jc w:val="center"/>
        <w:rPr>
          <w:b/>
        </w:rPr>
      </w:pPr>
      <w:bookmarkStart w:id="0" w:name="_GoBack"/>
      <w:bookmarkEnd w:id="0"/>
      <w:r>
        <w:rPr>
          <w:b/>
        </w:rPr>
        <w:t>BAB</w:t>
      </w:r>
      <w:r w:rsidR="00060DD9">
        <w:rPr>
          <w:b/>
        </w:rPr>
        <w:t xml:space="preserve"> </w:t>
      </w:r>
      <w:r>
        <w:rPr>
          <w:b/>
        </w:rPr>
        <w:t xml:space="preserve"> I</w:t>
      </w:r>
    </w:p>
    <w:p w:rsidR="00D55A50" w:rsidRPr="00D55A50" w:rsidRDefault="00D55A50" w:rsidP="00031D03">
      <w:pPr>
        <w:spacing w:line="480" w:lineRule="auto"/>
        <w:jc w:val="center"/>
      </w:pPr>
      <w:r>
        <w:rPr>
          <w:b/>
        </w:rPr>
        <w:t>PENDAHULUAN</w:t>
      </w:r>
    </w:p>
    <w:p w:rsidR="00D6403C" w:rsidRDefault="00D6403C" w:rsidP="00031D03">
      <w:pPr>
        <w:spacing w:line="480" w:lineRule="auto"/>
        <w:jc w:val="center"/>
        <w:rPr>
          <w:lang w:val="en-US"/>
        </w:rPr>
      </w:pPr>
    </w:p>
    <w:p w:rsidR="00D6403C" w:rsidRDefault="00767ABC" w:rsidP="00031D03">
      <w:pPr>
        <w:spacing w:line="480" w:lineRule="auto"/>
        <w:jc w:val="both"/>
        <w:rPr>
          <w:b/>
          <w:lang w:val="en-US"/>
        </w:rPr>
      </w:pPr>
      <w:r w:rsidRPr="00767ABC">
        <w:rPr>
          <w:b/>
          <w:lang w:val="en-US"/>
        </w:rPr>
        <w:t xml:space="preserve">A. </w:t>
      </w:r>
      <w:r w:rsidR="00D6403C" w:rsidRPr="00767ABC">
        <w:rPr>
          <w:b/>
          <w:lang w:val="en-US"/>
        </w:rPr>
        <w:t>Latar Belakang Masalah</w:t>
      </w:r>
    </w:p>
    <w:p w:rsidR="00767ABC" w:rsidRPr="000C3559" w:rsidRDefault="00767ABC" w:rsidP="00031D03">
      <w:pPr>
        <w:spacing w:line="480" w:lineRule="auto"/>
        <w:ind w:firstLine="709"/>
        <w:jc w:val="both"/>
        <w:rPr>
          <w:bCs/>
        </w:rPr>
      </w:pPr>
      <w:r>
        <w:t>S</w:t>
      </w:r>
      <w:r w:rsidRPr="000C3559">
        <w:t xml:space="preserve">eperti yang dipaparkan Samuel P. Huntington, perbedaan tidak mesti </w:t>
      </w:r>
      <w:r>
        <w:t xml:space="preserve">melahirkan </w:t>
      </w:r>
      <w:r w:rsidRPr="000C3559">
        <w:t>konflik, dan konflik tidak harus berarti kekerasan. Namun realitas sejarah berbicara lain. Dalam dunia kontemporer, konflik-konflik yang paling mudah menyebar dan sangat penting sekaligus paling berbahaya bukanlah konflik antar</w:t>
      </w:r>
      <w:r w:rsidR="0030061B">
        <w:t xml:space="preserve"> </w:t>
      </w:r>
      <w:r w:rsidRPr="000C3559">
        <w:t>kelas sosial, antar golongan kaya dengan golongan miskin, atau antara kelom</w:t>
      </w:r>
      <w:r>
        <w:t>pok-kelompok (kekuatan) ekonomi</w:t>
      </w:r>
      <w:r w:rsidRPr="000C3559">
        <w:t xml:space="preserve">, tetapi konflik antara orang-orang yang memiliki entitas-entitas budaya yang berbeda-beda. </w:t>
      </w:r>
      <w:r>
        <w:t xml:space="preserve">Di antara beragam </w:t>
      </w:r>
      <w:r w:rsidRPr="000C3559">
        <w:t xml:space="preserve">entitas </w:t>
      </w:r>
      <w:r>
        <w:t xml:space="preserve">budaya sepanjang sejarah manusia, </w:t>
      </w:r>
      <w:r w:rsidRPr="000C3559">
        <w:t xml:space="preserve"> </w:t>
      </w:r>
      <w:r>
        <w:t xml:space="preserve">konflik karena perbedaan </w:t>
      </w:r>
      <w:r w:rsidRPr="000C3559">
        <w:t>agama</w:t>
      </w:r>
      <w:r>
        <w:t xml:space="preserve"> dapat dikatakan</w:t>
      </w:r>
      <w:r w:rsidRPr="000C3559">
        <w:t xml:space="preserve"> paling keras</w:t>
      </w:r>
      <w:r>
        <w:t>,</w:t>
      </w:r>
      <w:r w:rsidRPr="000C3559">
        <w:t xml:space="preserve"> paling lama, paling luas, dan paling banyak memakan korban. Dalam citranya yang negatif, agama telah memberikan kontribusi terhadap terjadinya konflik, penindasan dan kekerasan. Agama telah menjadi tirani, di mana atas nama Tuhan orang melakukan kekerasan, menindas, melakukan ketidakadilan dan pembunuhan. </w:t>
      </w:r>
    </w:p>
    <w:p w:rsidR="00767ABC" w:rsidRPr="000C3559" w:rsidRDefault="00767ABC" w:rsidP="00031D03">
      <w:pPr>
        <w:spacing w:before="100" w:beforeAutospacing="1" w:after="100" w:afterAutospacing="1" w:line="480" w:lineRule="auto"/>
        <w:ind w:firstLine="709"/>
        <w:jc w:val="both"/>
      </w:pPr>
      <w:r w:rsidRPr="000C3559">
        <w:t>Apabila dilihat dari karakter agama yang secara umum mengajarkan nilai-nilai kemanusiaan, semestinya konflik, penindasan dan kekerasan tidak termasuk dalam domain agama dan keberagamaan. Namun demikian, dalam realitasnya</w:t>
      </w:r>
      <w:r>
        <w:t>,</w:t>
      </w:r>
      <w:r w:rsidRPr="000C3559">
        <w:t xml:space="preserve"> agama dan pemeluk agama sering menjadi produsen kekerasan khususnya ketika bersentuhan dengan aspek lain, seperti kepentingan kelompok/madzhab atau lebih luas lagi demi </w:t>
      </w:r>
      <w:r w:rsidRPr="000C3559">
        <w:lastRenderedPageBreak/>
        <w:t xml:space="preserve">ambisi politik kekuasaan. Dalam konteks ini agama sering selalu disalahgunakan dan disalahartikan, baik dari aspek eksternal maupun internal. Dari aspek eksternal, agama profetik (kenabian) seperti Yahudi, Kristen dan Islam cenderung melakukan kekerasan segera setelah identitas mereka terancam. Dari aspek internal, agama profetik sering melakukan kekerasan karena merasa yakin tindakannya berdasar legitimasi Tuhan. </w:t>
      </w:r>
    </w:p>
    <w:p w:rsidR="00767ABC" w:rsidRPr="000C3559" w:rsidRDefault="00767ABC" w:rsidP="00031D03">
      <w:pPr>
        <w:pStyle w:val="NormalWeb"/>
        <w:spacing w:line="480" w:lineRule="auto"/>
        <w:ind w:firstLine="709"/>
        <w:jc w:val="both"/>
      </w:pPr>
      <w:r w:rsidRPr="000C3559">
        <w:t xml:space="preserve">Di sisi lain, dalam memainkan “bandul” pendulum kekuasaan, agama telah dimanipulasi oleh para penguasa untuk kepentingan politik sebagai upaya untuk membebaskan dirinya dari kewajiban moral jika merasa eksistensinya terancam. Dalam  sejarah peradaban Islam misalnya, terbunuhnya ketiga </w:t>
      </w:r>
      <w:r w:rsidRPr="000C3559">
        <w:rPr>
          <w:i/>
          <w:iCs/>
        </w:rPr>
        <w:t>khulafa al</w:t>
      </w:r>
      <w:r w:rsidR="00060DD9">
        <w:rPr>
          <w:i/>
          <w:iCs/>
          <w:lang w:val="id-ID"/>
        </w:rPr>
        <w:t>-</w:t>
      </w:r>
      <w:r w:rsidR="00060DD9">
        <w:rPr>
          <w:i/>
          <w:iCs/>
        </w:rPr>
        <w:t>R</w:t>
      </w:r>
      <w:r w:rsidRPr="000C3559">
        <w:rPr>
          <w:i/>
          <w:iCs/>
        </w:rPr>
        <w:t xml:space="preserve">asyidin </w:t>
      </w:r>
      <w:r w:rsidRPr="000C3559">
        <w:t xml:space="preserve">(Umar, Ustman dan Ali) oleh lawan politiknya dari kalangan internal umat Islam, merupakan bukti kuat bahwa agama selalu dijadikan kedok pembenaran melakukan kekerasan antar sesama demi kekuasaan (politik). Pemikir muslim, seperti Abid al-Jabiri, melihat peristiwa kekerasan semacam itu sebagai awal sakralisasi kekerasan guna mendapatkan otoritas politik. Kekerasan dan ambisi politik ibarat dua sisi mata uang logam yang  tidak bisa dipisahkan. Dalam konteks </w:t>
      </w:r>
      <w:r w:rsidRPr="00431A50">
        <w:rPr>
          <w:i/>
        </w:rPr>
        <w:t>Islamic-Studies</w:t>
      </w:r>
      <w:r w:rsidRPr="000C3559">
        <w:t>, fenom</w:t>
      </w:r>
      <w:r w:rsidR="0030061B">
        <w:rPr>
          <w:lang w:val="id-ID"/>
        </w:rPr>
        <w:t>e</w:t>
      </w:r>
      <w:r w:rsidRPr="000C3559">
        <w:t>na ini tampak dalam pergeseran kajian Ilmu Kalam (teologi Islam) yang  mengalami  transformasi dari paradigma politik ke paradigma teologi.</w:t>
      </w:r>
    </w:p>
    <w:p w:rsidR="00BE2E53" w:rsidRPr="00BE2E53" w:rsidRDefault="00BE2E53" w:rsidP="00031D03">
      <w:pPr>
        <w:pStyle w:val="NormalWeb"/>
        <w:spacing w:line="480" w:lineRule="auto"/>
        <w:ind w:firstLine="709"/>
        <w:jc w:val="both"/>
      </w:pPr>
      <w:r w:rsidRPr="00BE2E53">
        <w:t>Agama dan politik, dua dunia yang berbeda. Yang satu identik serba suci, yang lainnya denga</w:t>
      </w:r>
      <w:r w:rsidR="0030061B">
        <w:t>n serba kotor, penuh manipulasi, m</w:t>
      </w:r>
      <w:r w:rsidRPr="00BE2E53">
        <w:t xml:space="preserve">eskipun politik yang didasari etika keagamaan bisa jadi merupakan jenis politik yang suci. Antara agama dan politik, </w:t>
      </w:r>
      <w:r w:rsidRPr="00BE2E53">
        <w:lastRenderedPageBreak/>
        <w:t>keduanya memiliki kesamaan, setidaknya dari sisi pengaruh. Baik agama maupun politik sama-sama mempengaruhi secara signifikan masyarakat. Dan karenanva, keduanya kerapkali berinteraksi saling memanfaatkan. </w:t>
      </w:r>
    </w:p>
    <w:p w:rsidR="00767ABC" w:rsidRPr="000C3559" w:rsidRDefault="00767ABC" w:rsidP="00031D03">
      <w:pPr>
        <w:pStyle w:val="NormalWeb"/>
        <w:spacing w:line="480" w:lineRule="auto"/>
        <w:ind w:firstLine="709"/>
        <w:jc w:val="both"/>
      </w:pPr>
      <w:r w:rsidRPr="000C3559">
        <w:t xml:space="preserve">Di antara berbagai manifestasi kekerasan yang lahir akibat pertemuan antara ranah politik dan agama ini adalah kekerasan intelektual. Kekerasan intelektual ini terjadi ketika penguasa—baik penguasa wacana agama seperti Ulama, maupun penguasa politik—meresmikan satu </w:t>
      </w:r>
      <w:r w:rsidRPr="000C3559">
        <w:rPr>
          <w:i/>
        </w:rPr>
        <w:t xml:space="preserve">mode of thought </w:t>
      </w:r>
      <w:r w:rsidRPr="000C3559">
        <w:t>tertentu sebagai sah, halal, institusional</w:t>
      </w:r>
      <w:r>
        <w:rPr>
          <w:lang w:val="id-ID"/>
        </w:rPr>
        <w:t>;</w:t>
      </w:r>
      <w:r w:rsidRPr="000C3559">
        <w:t xml:space="preserve"> sementara mode-mode berpikir lain diklaim sebagai sesat, haram dan makar. Implikasi dari pembakuan mode berpikir ini ketika berpadu dengan kekuatan dan ambisi politik banyak melahirkan tragedi intelektual yang patut disesalkan.</w:t>
      </w:r>
    </w:p>
    <w:p w:rsidR="00767ABC" w:rsidRPr="000C3559" w:rsidRDefault="00767ABC" w:rsidP="00031D03">
      <w:pPr>
        <w:pStyle w:val="NormalWeb"/>
        <w:spacing w:line="480" w:lineRule="auto"/>
        <w:ind w:firstLine="709"/>
        <w:jc w:val="both"/>
      </w:pPr>
      <w:r w:rsidRPr="000C3559">
        <w:t xml:space="preserve">Ada sangat banyak kasus yang menunjukkan fenomena kekerasan ini. Sebagai contoh, sejarah telah mencatat bagaimana </w:t>
      </w:r>
      <w:r w:rsidRPr="00780E99">
        <w:rPr>
          <w:iCs/>
        </w:rPr>
        <w:t>nasib</w:t>
      </w:r>
      <w:r w:rsidRPr="000C3559">
        <w:rPr>
          <w:i/>
          <w:iCs/>
        </w:rPr>
        <w:t xml:space="preserve"> </w:t>
      </w:r>
      <w:r w:rsidRPr="000C3559">
        <w:rPr>
          <w:iCs/>
        </w:rPr>
        <w:t>cendekiawan besar muslim</w:t>
      </w:r>
      <w:r w:rsidRPr="000C3559">
        <w:rPr>
          <w:i/>
          <w:iCs/>
        </w:rPr>
        <w:t xml:space="preserve"> </w:t>
      </w:r>
      <w:r w:rsidRPr="000C3559">
        <w:t>seperti Imam Abu Hanifah</w:t>
      </w:r>
      <w:r>
        <w:rPr>
          <w:lang w:val="id-ID"/>
        </w:rPr>
        <w:t xml:space="preserve"> yang </w:t>
      </w:r>
      <w:r w:rsidRPr="000C3559">
        <w:t>dengan berani dan kritis menghadapi kelaliman dan kesewenang-wenangan Khalifah al-Manshur, yang kemudian membunuh Abu Hanifah dengan racun. Dalam konteks kajian Islam kontemporer mungkin bisa pula disebut kasus terbunuhnya Farag Faudah, Husein Marwah, Mahdi ‘Amil, Mahmud Thaha, juga m</w:t>
      </w:r>
      <w:r>
        <w:t>ereka yang harus terusir dari k</w:t>
      </w:r>
      <w:r>
        <w:rPr>
          <w:lang w:val="id-ID"/>
        </w:rPr>
        <w:t>a</w:t>
      </w:r>
      <w:r w:rsidRPr="000C3559">
        <w:t>mpung halamannya seperti Nashr Hamid Abu Zaid dan seorang Syekh al-Azhar, Ahmad Subhi Manshur.</w:t>
      </w:r>
    </w:p>
    <w:p w:rsidR="00767ABC" w:rsidRDefault="00767ABC" w:rsidP="00031D03">
      <w:pPr>
        <w:spacing w:line="480" w:lineRule="auto"/>
        <w:ind w:firstLine="709"/>
        <w:jc w:val="both"/>
        <w:rPr>
          <w:lang w:val="en-US"/>
        </w:rPr>
      </w:pPr>
      <w:r w:rsidRPr="000C3559">
        <w:t xml:space="preserve">Di antara berbagai kasus kekerasan intelektual tersebut, para pengkaji </w:t>
      </w:r>
      <w:r>
        <w:rPr>
          <w:i/>
        </w:rPr>
        <w:t>I</w:t>
      </w:r>
      <w:r w:rsidRPr="00780E99">
        <w:rPr>
          <w:i/>
        </w:rPr>
        <w:t>slamic-Studies</w:t>
      </w:r>
      <w:r w:rsidRPr="000C3559">
        <w:t xml:space="preserve"> dapat dipastikan m</w:t>
      </w:r>
      <w:r w:rsidR="00163127">
        <w:rPr>
          <w:lang w:val="en-US"/>
        </w:rPr>
        <w:t>e</w:t>
      </w:r>
      <w:r w:rsidRPr="000C3559">
        <w:t xml:space="preserve">ngingat kasus </w:t>
      </w:r>
      <w:r w:rsidRPr="00431A50">
        <w:rPr>
          <w:i/>
        </w:rPr>
        <w:t>mihnah</w:t>
      </w:r>
      <w:r w:rsidRPr="000C3559">
        <w:rPr>
          <w:i/>
        </w:rPr>
        <w:t xml:space="preserve"> mu’tazilah. </w:t>
      </w:r>
      <w:r w:rsidRPr="000C3559">
        <w:t xml:space="preserve">Kasus ini termasuk luar </w:t>
      </w:r>
      <w:r w:rsidRPr="000C3559">
        <w:lastRenderedPageBreak/>
        <w:t xml:space="preserve">biasa, baik karena para pelaku sejarahnya yang merupakan variabel-variabel besar dalam sejarah Islam, juga karena statusnya yang menjadi bukti historis terjadinya tragedi perselingkuhan antara agama dan politik. </w:t>
      </w:r>
    </w:p>
    <w:p w:rsidR="0006063E" w:rsidRDefault="00163127" w:rsidP="00031D03">
      <w:pPr>
        <w:pStyle w:val="NormalWeb"/>
        <w:spacing w:line="480" w:lineRule="auto"/>
        <w:ind w:firstLine="709"/>
        <w:jc w:val="both"/>
        <w:rPr>
          <w:color w:val="000000"/>
        </w:rPr>
      </w:pPr>
      <w:r>
        <w:rPr>
          <w:color w:val="000000"/>
        </w:rPr>
        <w:t xml:space="preserve">Peristiwa </w:t>
      </w:r>
      <w:r>
        <w:rPr>
          <w:i/>
          <w:color w:val="000000"/>
        </w:rPr>
        <w:t xml:space="preserve">mihnah </w:t>
      </w:r>
      <w:r>
        <w:rPr>
          <w:color w:val="000000"/>
        </w:rPr>
        <w:t xml:space="preserve">yang luar biasa tersebut terjadi di era kekhalifahan Abbasiyah pada saat Khalifah al-Ma’mun berkuasa. Saat itu dunia Islam sedang </w:t>
      </w:r>
      <w:r w:rsidR="0030061B">
        <w:rPr>
          <w:color w:val="000000"/>
        </w:rPr>
        <w:t>sibuk secara intelektual dan sos</w:t>
      </w:r>
      <w:r>
        <w:rPr>
          <w:color w:val="000000"/>
        </w:rPr>
        <w:t xml:space="preserve">ial oleh menjamurnya berbagai mazhab pemikiran keagamaan di kalangan umat Islam. </w:t>
      </w:r>
      <w:r w:rsidRPr="00163127">
        <w:rPr>
          <w:color w:val="000000"/>
        </w:rPr>
        <w:t>Khalifah al-Ma'mun, di tengah-tengah pertikaian paham berbagai kelompok Islam</w:t>
      </w:r>
      <w:r>
        <w:rPr>
          <w:color w:val="000000"/>
        </w:rPr>
        <w:t xml:space="preserve"> tersebut</w:t>
      </w:r>
      <w:r w:rsidRPr="00163127">
        <w:rPr>
          <w:color w:val="000000"/>
        </w:rPr>
        <w:t xml:space="preserve">, memihak kaum Mu'tazilah melawan kaum Hadits yang dipimpin oleh Ahmad ibn Hanbal (pendiri mazhab Hanbali, salah satu dari empat mazhab Fiqh). </w:t>
      </w:r>
      <w:r>
        <w:rPr>
          <w:color w:val="000000"/>
        </w:rPr>
        <w:t>Dalam konteks perbedaan pendapat inilah kemudian ia</w:t>
      </w:r>
      <w:r w:rsidRPr="00163127">
        <w:rPr>
          <w:color w:val="000000"/>
        </w:rPr>
        <w:t xml:space="preserve"> melakukan </w:t>
      </w:r>
      <w:r w:rsidRPr="00163127">
        <w:rPr>
          <w:i/>
          <w:color w:val="000000"/>
        </w:rPr>
        <w:t>mihnah</w:t>
      </w:r>
      <w:r w:rsidRPr="00163127">
        <w:rPr>
          <w:color w:val="000000"/>
        </w:rPr>
        <w:t xml:space="preserve"> (pemeriksaan paham pribadi, </w:t>
      </w:r>
      <w:r w:rsidRPr="00163127">
        <w:rPr>
          <w:i/>
          <w:color w:val="000000"/>
        </w:rPr>
        <w:t>inquisition</w:t>
      </w:r>
      <w:r w:rsidRPr="00163127">
        <w:rPr>
          <w:color w:val="000000"/>
        </w:rPr>
        <w:t xml:space="preserve">), dan menyiksa serta menjebloskan banyak orang, termasuk Ahmad ibn Hanbal, ke dalam penjara. Salah satu masalah yang diperselisihkan </w:t>
      </w:r>
      <w:r>
        <w:rPr>
          <w:color w:val="000000"/>
        </w:rPr>
        <w:t xml:space="preserve">adalah </w:t>
      </w:r>
      <w:r w:rsidRPr="00163127">
        <w:rPr>
          <w:color w:val="000000"/>
        </w:rPr>
        <w:t xml:space="preserve">apakah Kalam atau </w:t>
      </w:r>
      <w:r>
        <w:rPr>
          <w:color w:val="000000"/>
        </w:rPr>
        <w:t>firman</w:t>
      </w:r>
      <w:r w:rsidRPr="00163127">
        <w:rPr>
          <w:color w:val="000000"/>
        </w:rPr>
        <w:t xml:space="preserve"> Allah</w:t>
      </w:r>
      <w:r>
        <w:rPr>
          <w:color w:val="000000"/>
        </w:rPr>
        <w:t xml:space="preserve"> yang</w:t>
      </w:r>
      <w:r w:rsidRPr="00163127">
        <w:rPr>
          <w:color w:val="000000"/>
        </w:rPr>
        <w:t xml:space="preserve"> ber</w:t>
      </w:r>
      <w:r>
        <w:rPr>
          <w:color w:val="000000"/>
        </w:rPr>
        <w:t>w</w:t>
      </w:r>
      <w:r w:rsidRPr="00163127">
        <w:rPr>
          <w:color w:val="000000"/>
        </w:rPr>
        <w:t xml:space="preserve">ujud al-Qur'an, itu </w:t>
      </w:r>
      <w:r w:rsidRPr="00163127">
        <w:rPr>
          <w:i/>
          <w:color w:val="000000"/>
        </w:rPr>
        <w:t>qadim</w:t>
      </w:r>
      <w:r w:rsidRPr="00163127">
        <w:rPr>
          <w:color w:val="000000"/>
        </w:rPr>
        <w:t xml:space="preserve"> (tak terciptakan karena menjadi satu dengan Hakika</w:t>
      </w:r>
      <w:r>
        <w:rPr>
          <w:color w:val="000000"/>
        </w:rPr>
        <w:t xml:space="preserve">t atau Dzat Ilahi) ataukah </w:t>
      </w:r>
      <w:r w:rsidRPr="00163127">
        <w:rPr>
          <w:i/>
          <w:color w:val="000000"/>
        </w:rPr>
        <w:t>hadis</w:t>
      </w:r>
      <w:r w:rsidRPr="00163127">
        <w:rPr>
          <w:color w:val="000000"/>
        </w:rPr>
        <w:t xml:space="preserve"> (terciptakan, karena berbentuk suara yang dinyatakan dalam huruf dan bahasa Arab)? Khalifah al-Ma'mun dan kaum Mu'tazilah berpend</w:t>
      </w:r>
      <w:r>
        <w:rPr>
          <w:color w:val="000000"/>
        </w:rPr>
        <w:t xml:space="preserve">apat bahwa Kalam Allah itu </w:t>
      </w:r>
      <w:r w:rsidRPr="00163127">
        <w:rPr>
          <w:i/>
          <w:color w:val="000000"/>
        </w:rPr>
        <w:t>hadis</w:t>
      </w:r>
      <w:r>
        <w:rPr>
          <w:color w:val="000000"/>
        </w:rPr>
        <w:t xml:space="preserve">, sementara Ahmad ibn Hanbal dan kelompoknya </w:t>
      </w:r>
      <w:r w:rsidR="0030061B">
        <w:rPr>
          <w:color w:val="000000"/>
          <w:lang w:val="id-ID"/>
        </w:rPr>
        <w:t>b</w:t>
      </w:r>
      <w:r w:rsidRPr="00163127">
        <w:rPr>
          <w:color w:val="000000"/>
        </w:rPr>
        <w:t>erpendapat al-Qur'an itu qadim seperti Dzat Allah sendiri.</w:t>
      </w:r>
      <w:r>
        <w:rPr>
          <w:color w:val="000000"/>
        </w:rPr>
        <w:t xml:space="preserve"> </w:t>
      </w:r>
      <w:r w:rsidRPr="00163127">
        <w:rPr>
          <w:color w:val="000000"/>
        </w:rPr>
        <w:t>Mihnah itu memang tidak berlangsung terlalu lama</w:t>
      </w:r>
      <w:r>
        <w:rPr>
          <w:color w:val="000000"/>
        </w:rPr>
        <w:t xml:space="preserve">, namun </w:t>
      </w:r>
      <w:r w:rsidRPr="00163127">
        <w:rPr>
          <w:color w:val="000000"/>
        </w:rPr>
        <w:t>ia telah meninggalkan luka yang cukup dalam pada tubuh pemikiran Islam, yang</w:t>
      </w:r>
      <w:r w:rsidR="0030061B">
        <w:rPr>
          <w:color w:val="000000"/>
        </w:rPr>
        <w:t xml:space="preserve"> sampai saat inipun masih dapat</w:t>
      </w:r>
      <w:r w:rsidRPr="00163127">
        <w:rPr>
          <w:color w:val="000000"/>
        </w:rPr>
        <w:t xml:space="preserve"> dirasakan. </w:t>
      </w:r>
    </w:p>
    <w:p w:rsidR="0006063E" w:rsidRPr="0006063E" w:rsidRDefault="00163127" w:rsidP="00031D03">
      <w:pPr>
        <w:pStyle w:val="NormalWeb"/>
        <w:spacing w:line="480" w:lineRule="auto"/>
        <w:ind w:firstLine="709"/>
        <w:jc w:val="both"/>
        <w:rPr>
          <w:color w:val="000000"/>
        </w:rPr>
      </w:pPr>
      <w:r>
        <w:lastRenderedPageBreak/>
        <w:t xml:space="preserve">Menarik untuk membaca peristiwa Mihnah ini dari perspektif Foucauldian, khususnya </w:t>
      </w:r>
      <w:r w:rsidR="00767ABC" w:rsidRPr="000C3559">
        <w:t>untuk melihat sejauh mana relasi kuasa dan pertautan antara kekuasaan dan pengetahuan mampu melahirkan tragedi kemanusiaan</w:t>
      </w:r>
      <w:r w:rsidR="00767ABC">
        <w:t>.</w:t>
      </w:r>
      <w:r w:rsidR="00767ABC" w:rsidRPr="000C3559">
        <w:t xml:space="preserve"> </w:t>
      </w:r>
      <w:r w:rsidR="0006063E" w:rsidRPr="0006063E">
        <w:t>Pengetahuan dan Kekuasaan mempunyai hubungan timbal balik. Penyelenggaraan kekuasaan terus menerus akan menciptakan entitas pengetahuan, begitu pun sebaliknya penyelenggaraan pengetahuan akan menimbulkan efek kekuasaan. Demikian bunyi teori Michel Foucault tentang relasi Kekuasaan- Pengetahuan.</w:t>
      </w:r>
      <w:r w:rsidR="0006063E">
        <w:rPr>
          <w:rStyle w:val="FootnoteReference"/>
        </w:rPr>
        <w:footnoteReference w:id="1"/>
      </w:r>
      <w:r w:rsidR="0006063E">
        <w:t xml:space="preserve"> </w:t>
      </w:r>
      <w:r w:rsidR="0006063E" w:rsidRPr="0006063E">
        <w:t>Bagi Foucault kekuasaan selalu teraktualisasi lewat pengetahuan, dan pengetahuan selalu punya efek kuasa. Penyelenggaraan pengetahuan menurut Foucault selau memproduksi pengetahuan sebagai basis kekuasaan. Hampir tidak mungkin kekuasaan tidak ditopang dengan suatu wacana kebenaran.</w:t>
      </w:r>
    </w:p>
    <w:p w:rsidR="00D6403C" w:rsidRDefault="0006063E" w:rsidP="00031D03">
      <w:pPr>
        <w:shd w:val="clear" w:color="auto" w:fill="FFFFFF"/>
        <w:spacing w:line="480" w:lineRule="auto"/>
        <w:rPr>
          <w:b/>
          <w:lang w:val="en-US"/>
        </w:rPr>
      </w:pPr>
      <w:r w:rsidRPr="0006063E">
        <w:rPr>
          <w:b/>
          <w:lang w:val="en-US"/>
        </w:rPr>
        <w:t xml:space="preserve">B. </w:t>
      </w:r>
      <w:r w:rsidR="00D6403C" w:rsidRPr="0006063E">
        <w:rPr>
          <w:b/>
          <w:lang w:val="en-US"/>
        </w:rPr>
        <w:t>Rumusan Masalah</w:t>
      </w:r>
    </w:p>
    <w:p w:rsidR="0006063E" w:rsidRDefault="0006063E" w:rsidP="00031D03">
      <w:pPr>
        <w:shd w:val="clear" w:color="auto" w:fill="FFFFFF"/>
        <w:spacing w:line="480" w:lineRule="auto"/>
        <w:ind w:firstLine="709"/>
        <w:rPr>
          <w:lang w:val="en-US"/>
        </w:rPr>
      </w:pPr>
      <w:r>
        <w:rPr>
          <w:lang w:val="en-US"/>
        </w:rPr>
        <w:t>Berdasarkan Latar Belakang Masalah yang terpapar di atas, maka penelitian ini dimaksud untuk menjawab pertanyaan utama berikut:</w:t>
      </w:r>
    </w:p>
    <w:p w:rsidR="0006063E" w:rsidRDefault="0006063E" w:rsidP="00031D03">
      <w:pPr>
        <w:pStyle w:val="ListParagraph"/>
        <w:numPr>
          <w:ilvl w:val="0"/>
          <w:numId w:val="3"/>
        </w:numPr>
        <w:shd w:val="clear" w:color="auto" w:fill="FFFFFF"/>
        <w:spacing w:line="480" w:lineRule="auto"/>
        <w:rPr>
          <w:lang w:val="en-US"/>
        </w:rPr>
      </w:pPr>
      <w:r>
        <w:rPr>
          <w:lang w:val="en-US"/>
        </w:rPr>
        <w:t xml:space="preserve">Bagaimana proses sosial-budaya-politik terjadinya peristiwa </w:t>
      </w:r>
      <w:r>
        <w:rPr>
          <w:i/>
          <w:lang w:val="en-US"/>
        </w:rPr>
        <w:t xml:space="preserve">mihnah </w:t>
      </w:r>
      <w:r>
        <w:rPr>
          <w:lang w:val="en-US"/>
        </w:rPr>
        <w:t>di era Kekhalifahan al-Ma’mun?</w:t>
      </w:r>
    </w:p>
    <w:p w:rsidR="0006063E" w:rsidRPr="0006063E" w:rsidRDefault="0006063E" w:rsidP="00031D03">
      <w:pPr>
        <w:pStyle w:val="ListParagraph"/>
        <w:numPr>
          <w:ilvl w:val="0"/>
          <w:numId w:val="3"/>
        </w:numPr>
        <w:shd w:val="clear" w:color="auto" w:fill="FFFFFF"/>
        <w:spacing w:line="480" w:lineRule="auto"/>
        <w:rPr>
          <w:lang w:val="en-US"/>
        </w:rPr>
      </w:pPr>
      <w:r>
        <w:rPr>
          <w:lang w:val="en-US"/>
        </w:rPr>
        <w:t xml:space="preserve">Bagaimana fenomena Mihnah Mu’tazilah dalam perspektif  </w:t>
      </w:r>
      <w:r w:rsidR="00B03BD3">
        <w:rPr>
          <w:lang w:val="en-US"/>
        </w:rPr>
        <w:t xml:space="preserve">teori </w:t>
      </w:r>
      <w:r>
        <w:rPr>
          <w:lang w:val="en-US"/>
        </w:rPr>
        <w:t>Relasi Kuasa Fo</w:t>
      </w:r>
      <w:r w:rsidR="006C2C63">
        <w:rPr>
          <w:lang w:val="en-US"/>
        </w:rPr>
        <w:t>ucauldian</w:t>
      </w:r>
      <w:r>
        <w:rPr>
          <w:lang w:val="en-US"/>
        </w:rPr>
        <w:t>?</w:t>
      </w:r>
    </w:p>
    <w:p w:rsidR="0006063E" w:rsidRDefault="0006063E" w:rsidP="00031D03">
      <w:pPr>
        <w:spacing w:line="480" w:lineRule="auto"/>
        <w:jc w:val="both"/>
        <w:rPr>
          <w:lang w:val="en-US"/>
        </w:rPr>
      </w:pPr>
    </w:p>
    <w:p w:rsidR="00031D03" w:rsidRDefault="00031D03" w:rsidP="00031D03">
      <w:pPr>
        <w:spacing w:line="480" w:lineRule="auto"/>
        <w:jc w:val="both"/>
        <w:rPr>
          <w:lang w:val="en-US"/>
        </w:rPr>
      </w:pPr>
    </w:p>
    <w:p w:rsidR="00D6403C" w:rsidRPr="0006063E" w:rsidRDefault="0006063E" w:rsidP="00031D03">
      <w:pPr>
        <w:spacing w:line="480" w:lineRule="auto"/>
        <w:jc w:val="both"/>
        <w:rPr>
          <w:b/>
          <w:lang w:val="en-US"/>
        </w:rPr>
      </w:pPr>
      <w:r w:rsidRPr="0006063E">
        <w:rPr>
          <w:b/>
          <w:lang w:val="en-US"/>
        </w:rPr>
        <w:lastRenderedPageBreak/>
        <w:t xml:space="preserve">C. </w:t>
      </w:r>
      <w:r w:rsidR="00D6403C" w:rsidRPr="0006063E">
        <w:rPr>
          <w:b/>
          <w:lang w:val="en-US"/>
        </w:rPr>
        <w:t>Tujuan dan Kegunaan</w:t>
      </w:r>
      <w:r w:rsidRPr="0006063E">
        <w:rPr>
          <w:b/>
          <w:lang w:val="en-US"/>
        </w:rPr>
        <w:t xml:space="preserve"> </w:t>
      </w:r>
    </w:p>
    <w:p w:rsidR="0006063E" w:rsidRDefault="0006063E" w:rsidP="00031D03">
      <w:pPr>
        <w:spacing w:line="480" w:lineRule="auto"/>
        <w:ind w:firstLine="709"/>
        <w:jc w:val="both"/>
        <w:rPr>
          <w:lang w:val="en-US"/>
        </w:rPr>
      </w:pPr>
      <w:r>
        <w:rPr>
          <w:lang w:val="en-US"/>
        </w:rPr>
        <w:t>Apabila melihat latar belakang dan rumusan permasalahan dari penelitian ini, maka tujuan dari penelitian ini adalah sebagai berikut:</w:t>
      </w:r>
    </w:p>
    <w:p w:rsidR="0006063E" w:rsidRDefault="0006063E" w:rsidP="00031D03">
      <w:pPr>
        <w:pStyle w:val="ListParagraph"/>
        <w:numPr>
          <w:ilvl w:val="0"/>
          <w:numId w:val="4"/>
        </w:numPr>
        <w:spacing w:line="480" w:lineRule="auto"/>
        <w:jc w:val="both"/>
        <w:rPr>
          <w:lang w:val="en-US"/>
        </w:rPr>
      </w:pPr>
      <w:r>
        <w:rPr>
          <w:lang w:val="en-US"/>
        </w:rPr>
        <w:t xml:space="preserve">Melacak akar sejarah terjadinya peristiwa </w:t>
      </w:r>
      <w:r>
        <w:rPr>
          <w:i/>
          <w:lang w:val="en-US"/>
        </w:rPr>
        <w:t xml:space="preserve">mihnah, </w:t>
      </w:r>
      <w:r>
        <w:rPr>
          <w:lang w:val="en-US"/>
        </w:rPr>
        <w:t>baik dalam aspek sosial-budaya-maupun politik yang terjadi di era Kekhalifahan al-Ma’mun</w:t>
      </w:r>
    </w:p>
    <w:p w:rsidR="0006063E" w:rsidRDefault="0006063E" w:rsidP="00031D03">
      <w:pPr>
        <w:pStyle w:val="ListParagraph"/>
        <w:numPr>
          <w:ilvl w:val="0"/>
          <w:numId w:val="4"/>
        </w:numPr>
        <w:spacing w:line="480" w:lineRule="auto"/>
        <w:jc w:val="both"/>
        <w:rPr>
          <w:lang w:val="en-US"/>
        </w:rPr>
      </w:pPr>
      <w:r>
        <w:rPr>
          <w:lang w:val="en-US"/>
        </w:rPr>
        <w:t xml:space="preserve">Menganalisis peristiwa </w:t>
      </w:r>
      <w:r>
        <w:rPr>
          <w:i/>
          <w:lang w:val="en-US"/>
        </w:rPr>
        <w:t xml:space="preserve">mihnah </w:t>
      </w:r>
      <w:r>
        <w:rPr>
          <w:lang w:val="en-US"/>
        </w:rPr>
        <w:t xml:space="preserve">dari perspektif teori </w:t>
      </w:r>
      <w:r>
        <w:rPr>
          <w:i/>
          <w:lang w:val="en-US"/>
        </w:rPr>
        <w:t xml:space="preserve">relasi kuasa </w:t>
      </w:r>
      <w:r>
        <w:rPr>
          <w:lang w:val="en-US"/>
        </w:rPr>
        <w:t>yang dikembangkan oleh Foucault</w:t>
      </w:r>
      <w:r w:rsidR="0030061B">
        <w:t>.</w:t>
      </w:r>
    </w:p>
    <w:p w:rsidR="0006063E" w:rsidRDefault="0006063E" w:rsidP="00031D03">
      <w:pPr>
        <w:spacing w:line="480" w:lineRule="auto"/>
        <w:ind w:firstLine="709"/>
        <w:jc w:val="both"/>
        <w:rPr>
          <w:lang w:val="en-US"/>
        </w:rPr>
      </w:pPr>
      <w:r>
        <w:rPr>
          <w:lang w:val="en-US"/>
        </w:rPr>
        <w:t xml:space="preserve">Adapun kegunaan penelitian ini adalah untuk memperjelas peta permasalahan teologis yang seringkali bersinggungan dengan ranah politik. Hasil penelitian ini selain untuk </w:t>
      </w:r>
      <w:r w:rsidR="00B03BD3">
        <w:rPr>
          <w:lang w:val="en-US"/>
        </w:rPr>
        <w:t>meng-e</w:t>
      </w:r>
      <w:r w:rsidR="00BE2E53">
        <w:rPr>
          <w:lang w:val="en-US"/>
        </w:rPr>
        <w:t xml:space="preserve">kspose variabel-variabel historis dalam peristiwa </w:t>
      </w:r>
      <w:r w:rsidR="00BE2E53">
        <w:rPr>
          <w:i/>
          <w:lang w:val="en-US"/>
        </w:rPr>
        <w:t xml:space="preserve">mihnah </w:t>
      </w:r>
      <w:r w:rsidR="00BE2E53">
        <w:rPr>
          <w:lang w:val="en-US"/>
        </w:rPr>
        <w:t>yang sangat berguna para pengkaji ilmu Kalam, juga menunjukkan eratnya kaitan antara dunia agama dan dunia politik. Hasil penelitian ini nantinya juga menjadi bukti seringnya terjadi politisasi agama atau hegemoni wacana agama oleh penguasa dalam sejarah.</w:t>
      </w:r>
    </w:p>
    <w:p w:rsidR="00BE2E53" w:rsidRPr="00BE2E53" w:rsidRDefault="00BE2E53" w:rsidP="00031D03">
      <w:pPr>
        <w:spacing w:line="480" w:lineRule="auto"/>
        <w:ind w:left="360"/>
        <w:jc w:val="both"/>
        <w:rPr>
          <w:lang w:val="en-US"/>
        </w:rPr>
      </w:pPr>
    </w:p>
    <w:p w:rsidR="00D6403C" w:rsidRDefault="00BE2E53" w:rsidP="00031D03">
      <w:pPr>
        <w:spacing w:line="480" w:lineRule="auto"/>
        <w:jc w:val="both"/>
        <w:rPr>
          <w:b/>
          <w:lang w:val="en-US"/>
        </w:rPr>
      </w:pPr>
      <w:r w:rsidRPr="00BE2E53">
        <w:rPr>
          <w:b/>
          <w:lang w:val="en-US"/>
        </w:rPr>
        <w:t xml:space="preserve">D. </w:t>
      </w:r>
      <w:r w:rsidR="00D6403C" w:rsidRPr="00BE2E53">
        <w:rPr>
          <w:b/>
          <w:lang w:val="en-US"/>
        </w:rPr>
        <w:t>Tinjauan Pustaka</w:t>
      </w:r>
    </w:p>
    <w:p w:rsidR="00B03BD3" w:rsidRDefault="00B03BD3" w:rsidP="00031D03">
      <w:pPr>
        <w:spacing w:line="480" w:lineRule="auto"/>
        <w:ind w:firstLine="709"/>
        <w:jc w:val="both"/>
        <w:rPr>
          <w:lang w:val="en-US"/>
        </w:rPr>
      </w:pPr>
      <w:r w:rsidRPr="00B03BD3">
        <w:rPr>
          <w:lang w:val="en-US"/>
        </w:rPr>
        <w:t>Sebagai</w:t>
      </w:r>
      <w:r>
        <w:rPr>
          <w:lang w:val="en-US"/>
        </w:rPr>
        <w:t xml:space="preserve"> salah satu aliran yang membawa pengaruh besar di dunia Islam, Mu’tazilah dan berbagai variabel yang berhubungan dengannya telah banyak dijadikan kajian oleh para peneliti dan ilmuwan. Secara umum kajian-kajian yang ada tentang Mu’tazilah mengulas tentang keberhasilan Mu’tazilah bekerjasama dengan Dinasti Abbasiyah dalam melahirkan peradaban rasional di dunia Islam. </w:t>
      </w:r>
    </w:p>
    <w:p w:rsidR="00B03BD3" w:rsidRDefault="00B03BD3" w:rsidP="00031D03">
      <w:pPr>
        <w:spacing w:line="480" w:lineRule="auto"/>
        <w:ind w:firstLine="709"/>
        <w:jc w:val="both"/>
        <w:rPr>
          <w:lang w:val="en-US"/>
        </w:rPr>
      </w:pPr>
      <w:r>
        <w:rPr>
          <w:lang w:val="en-US"/>
        </w:rPr>
        <w:t xml:space="preserve">Kajian-kajian tentang Mu’tazilah ini bisa dikategorikan dalam tiga kelompok, yaitu pertama, kajian yang mengulas Mu’tazilah secara umum dengan semua </w:t>
      </w:r>
      <w:r>
        <w:rPr>
          <w:lang w:val="en-US"/>
        </w:rPr>
        <w:lastRenderedPageBreak/>
        <w:t>variabelnya, baik sejarah maupun pemikirannya; kedua, kajian yan</w:t>
      </w:r>
      <w:r w:rsidR="00771D97">
        <w:rPr>
          <w:lang w:val="en-US"/>
        </w:rPr>
        <w:t>g mengangkat pemikiran tokoh Mu’</w:t>
      </w:r>
      <w:r>
        <w:rPr>
          <w:lang w:val="en-US"/>
        </w:rPr>
        <w:t>tazilah tertentu dan ketiga, kajian yang secara mendalam menganalisis isu tertentu yang berasal dari pemikiran tokoh atau aliran Mu’tazilah.</w:t>
      </w:r>
    </w:p>
    <w:p w:rsidR="00B03BD3" w:rsidRDefault="00B03BD3" w:rsidP="00031D03">
      <w:pPr>
        <w:spacing w:line="480" w:lineRule="auto"/>
        <w:ind w:firstLine="709"/>
        <w:jc w:val="both"/>
        <w:rPr>
          <w:lang w:val="en-US"/>
        </w:rPr>
      </w:pPr>
      <w:r>
        <w:rPr>
          <w:lang w:val="en-US"/>
        </w:rPr>
        <w:t xml:space="preserve">Untuk kelompok penelitian jenis pertama bisa dilihat dalam semua buku-buku ilmu kalam atau teologi Islam. Dalam kategori penelitian paling baru bisa disebut misalnya karya Jesse Russell dan Ronald Coln yang berjudul </w:t>
      </w:r>
      <w:r w:rsidRPr="00B03BD3">
        <w:rPr>
          <w:i/>
          <w:lang w:val="en-US"/>
        </w:rPr>
        <w:t>Mu’tazila</w:t>
      </w:r>
      <w:r w:rsidR="007D7EA2">
        <w:rPr>
          <w:i/>
          <w:lang w:val="en-US"/>
        </w:rPr>
        <w:t>,</w:t>
      </w:r>
      <w:r>
        <w:rPr>
          <w:rStyle w:val="FootnoteReference"/>
          <w:lang w:val="en-US"/>
        </w:rPr>
        <w:footnoteReference w:id="2"/>
      </w:r>
      <w:r>
        <w:rPr>
          <w:lang w:val="en-US"/>
        </w:rPr>
        <w:t xml:space="preserve"> </w:t>
      </w:r>
      <w:r w:rsidR="007D7EA2">
        <w:rPr>
          <w:lang w:val="en-US"/>
        </w:rPr>
        <w:t xml:space="preserve">atau karya Zuhdi Jarullah, </w:t>
      </w:r>
      <w:r w:rsidR="007D7EA2">
        <w:rPr>
          <w:i/>
          <w:lang w:val="en-US"/>
        </w:rPr>
        <w:t>al-Mu’tazilah.</w:t>
      </w:r>
      <w:r w:rsidR="007D7EA2">
        <w:rPr>
          <w:rStyle w:val="FootnoteReference"/>
          <w:i/>
          <w:lang w:val="en-US"/>
        </w:rPr>
        <w:footnoteReference w:id="3"/>
      </w:r>
      <w:r w:rsidR="007D7EA2">
        <w:rPr>
          <w:lang w:val="en-US"/>
        </w:rPr>
        <w:t xml:space="preserve"> </w:t>
      </w:r>
      <w:r>
        <w:rPr>
          <w:lang w:val="en-US"/>
        </w:rPr>
        <w:t>Penelitian dalam kategori ini biasanya bersifat deskriptif dan informatif tentang sejarah dan pemikiran Mu’tazilah.</w:t>
      </w:r>
    </w:p>
    <w:p w:rsidR="001500DF" w:rsidRDefault="001500DF" w:rsidP="00031D03">
      <w:pPr>
        <w:spacing w:line="480" w:lineRule="auto"/>
        <w:ind w:firstLine="709"/>
        <w:jc w:val="both"/>
        <w:rPr>
          <w:lang w:val="en-US"/>
        </w:rPr>
      </w:pPr>
      <w:r>
        <w:rPr>
          <w:lang w:val="en-US"/>
        </w:rPr>
        <w:t>Adapun dalam kelompok penelitian jenis kedua bisa disebut misalnya penelitian terhadap seorang tokoh Mu’tazilah, Qadi Abdul Jabbar yang dilakukan oleh Machasin</w:t>
      </w:r>
      <w:r>
        <w:rPr>
          <w:rStyle w:val="FootnoteReference"/>
          <w:lang w:val="en-US"/>
        </w:rPr>
        <w:t xml:space="preserve"> </w:t>
      </w:r>
      <w:r>
        <w:rPr>
          <w:lang w:val="en-US"/>
        </w:rPr>
        <w:t>dan juga dilakukan oleh Wardani. Machasin menelaah ayat-ayat Mutasyabihat dalam Al-Qur’an</w:t>
      </w:r>
      <w:r>
        <w:rPr>
          <w:rStyle w:val="FootnoteReference"/>
          <w:lang w:val="en-US"/>
        </w:rPr>
        <w:footnoteReference w:id="4"/>
      </w:r>
      <w:r>
        <w:rPr>
          <w:lang w:val="en-US"/>
        </w:rPr>
        <w:t xml:space="preserve"> sementara Wardani meneliti tentang epistemologi etika-nya.</w:t>
      </w:r>
      <w:r>
        <w:rPr>
          <w:rStyle w:val="FootnoteReference"/>
          <w:lang w:val="en-US"/>
        </w:rPr>
        <w:footnoteReference w:id="5"/>
      </w:r>
    </w:p>
    <w:p w:rsidR="00FF5217" w:rsidRDefault="001500DF" w:rsidP="00031D03">
      <w:pPr>
        <w:spacing w:line="480" w:lineRule="auto"/>
        <w:ind w:firstLine="709"/>
        <w:jc w:val="both"/>
        <w:rPr>
          <w:i/>
          <w:noProof w:val="0"/>
          <w:lang w:val="en-US"/>
        </w:rPr>
      </w:pPr>
      <w:r>
        <w:rPr>
          <w:lang w:val="en-US"/>
        </w:rPr>
        <w:t xml:space="preserve">Sementara itu buku-buku dan hasil penelitian dalam kategori ketiga juga banyak ditemukan. Beberapa diantara hasil kajian tersebut misalnya tulisan Richard M. Frank yang berjudul </w:t>
      </w:r>
      <w:r>
        <w:rPr>
          <w:i/>
          <w:lang w:val="en-US"/>
        </w:rPr>
        <w:t>Being and Their Attributes: The teaching of Basrian School of the Mu’tazila in the Classical Period</w:t>
      </w:r>
      <w:r>
        <w:rPr>
          <w:rStyle w:val="FootnoteReference"/>
          <w:i/>
          <w:lang w:val="en-US"/>
        </w:rPr>
        <w:footnoteReference w:id="6"/>
      </w:r>
      <w:r>
        <w:rPr>
          <w:i/>
          <w:lang w:val="en-US"/>
        </w:rPr>
        <w:t xml:space="preserve">, </w:t>
      </w:r>
      <w:r>
        <w:rPr>
          <w:lang w:val="en-US"/>
        </w:rPr>
        <w:t xml:space="preserve">juga karya Alnoor Danani yang berjudul </w:t>
      </w:r>
      <w:r w:rsidRPr="007D7EA2">
        <w:rPr>
          <w:i/>
          <w:noProof w:val="0"/>
          <w:lang w:val="en-US"/>
        </w:rPr>
        <w:t>The Physical Theory of Kalām: Atoms, Space, and Void in Basrian Muʻtazilī Cosmology</w:t>
      </w:r>
      <w:r>
        <w:rPr>
          <w:i/>
          <w:noProof w:val="0"/>
          <w:lang w:val="en-US"/>
        </w:rPr>
        <w:t xml:space="preserve"> </w:t>
      </w:r>
      <w:r w:rsidRPr="00FF5217">
        <w:rPr>
          <w:noProof w:val="0"/>
          <w:lang w:val="en-US"/>
        </w:rPr>
        <w:lastRenderedPageBreak/>
        <w:t>Publisher</w:t>
      </w:r>
      <w:r>
        <w:rPr>
          <w:noProof w:val="0"/>
          <w:lang w:val="en-US"/>
        </w:rPr>
        <w:t>.</w:t>
      </w:r>
      <w:r>
        <w:rPr>
          <w:rStyle w:val="FootnoteReference"/>
          <w:noProof w:val="0"/>
          <w:lang w:val="en-US"/>
        </w:rPr>
        <w:footnoteReference w:id="7"/>
      </w:r>
      <w:r>
        <w:rPr>
          <w:noProof w:val="0"/>
          <w:lang w:val="en-US"/>
        </w:rPr>
        <w:t xml:space="preserve"> Dari kalangan intelektual muslim bisa dise</w:t>
      </w:r>
      <w:r w:rsidR="0030061B">
        <w:rPr>
          <w:noProof w:val="0"/>
          <w:lang w:val="en-US"/>
        </w:rPr>
        <w:t>but pula hasil penelitian Nasr Hamid Abu Zayd yang di I</w:t>
      </w:r>
      <w:r>
        <w:rPr>
          <w:noProof w:val="0"/>
          <w:lang w:val="en-US"/>
        </w:rPr>
        <w:t xml:space="preserve">ndonesia diterbitkan dengan judul </w:t>
      </w:r>
      <w:r>
        <w:rPr>
          <w:i/>
          <w:noProof w:val="0"/>
          <w:lang w:val="en-US"/>
        </w:rPr>
        <w:t>Menalar Firman Tuhan, Majaz dalam Al-Qur’an Menurut Mu’tazilah.</w:t>
      </w:r>
      <w:r>
        <w:rPr>
          <w:rStyle w:val="FootnoteReference"/>
          <w:i/>
          <w:noProof w:val="0"/>
          <w:lang w:val="en-US"/>
        </w:rPr>
        <w:footnoteReference w:id="8"/>
      </w:r>
    </w:p>
    <w:p w:rsidR="0063504E" w:rsidRDefault="001500DF" w:rsidP="00031D03">
      <w:pPr>
        <w:autoSpaceDE w:val="0"/>
        <w:autoSpaceDN w:val="0"/>
        <w:adjustRightInd w:val="0"/>
        <w:spacing w:line="480" w:lineRule="auto"/>
        <w:ind w:firstLine="709"/>
        <w:jc w:val="both"/>
        <w:rPr>
          <w:i/>
          <w:lang w:val="en-US"/>
        </w:rPr>
      </w:pPr>
      <w:r>
        <w:rPr>
          <w:noProof w:val="0"/>
          <w:lang w:val="en-US"/>
        </w:rPr>
        <w:t xml:space="preserve">Penelitian terhadap kasus </w:t>
      </w:r>
      <w:r w:rsidRPr="001500DF">
        <w:rPr>
          <w:i/>
          <w:noProof w:val="0"/>
          <w:lang w:val="en-US"/>
        </w:rPr>
        <w:t>Mihnah</w:t>
      </w:r>
      <w:r>
        <w:rPr>
          <w:i/>
          <w:noProof w:val="0"/>
          <w:lang w:val="en-US"/>
        </w:rPr>
        <w:t xml:space="preserve"> </w:t>
      </w:r>
      <w:r w:rsidR="0030061B">
        <w:rPr>
          <w:noProof w:val="0"/>
          <w:lang w:val="en-US"/>
        </w:rPr>
        <w:t>yang dilakukan oleh Mu’</w:t>
      </w:r>
      <w:r>
        <w:rPr>
          <w:noProof w:val="0"/>
          <w:lang w:val="en-US"/>
        </w:rPr>
        <w:t xml:space="preserve">tazilah dapat dikatakan merupakan kelompok ketiga ini. Sebenarnya tidak sedikit peneliti yang membahas problematika </w:t>
      </w:r>
      <w:r>
        <w:rPr>
          <w:i/>
          <w:noProof w:val="0"/>
          <w:lang w:val="en-US"/>
        </w:rPr>
        <w:t xml:space="preserve">mihnah </w:t>
      </w:r>
      <w:r>
        <w:rPr>
          <w:noProof w:val="0"/>
          <w:lang w:val="en-US"/>
        </w:rPr>
        <w:t xml:space="preserve">ini, karena memang fenomena </w:t>
      </w:r>
      <w:r>
        <w:rPr>
          <w:i/>
          <w:noProof w:val="0"/>
          <w:lang w:val="en-US"/>
        </w:rPr>
        <w:t xml:space="preserve">mihnah </w:t>
      </w:r>
      <w:r>
        <w:rPr>
          <w:noProof w:val="0"/>
          <w:lang w:val="en-US"/>
        </w:rPr>
        <w:t xml:space="preserve">ini secara sosial-budaya-politik dalam sejarah Islam memang peristiwa luar biasa. Di antara penelitian sebelumnya tentang </w:t>
      </w:r>
      <w:r>
        <w:rPr>
          <w:i/>
          <w:noProof w:val="0"/>
          <w:lang w:val="en-US"/>
        </w:rPr>
        <w:t xml:space="preserve">mihnah </w:t>
      </w:r>
      <w:r>
        <w:rPr>
          <w:noProof w:val="0"/>
          <w:lang w:val="en-US"/>
        </w:rPr>
        <w:t xml:space="preserve">bisa disebut misalnya karya </w:t>
      </w:r>
      <w:r w:rsidRPr="001A1EB8">
        <w:t>Walter Melville Patton</w:t>
      </w:r>
      <w:r>
        <w:rPr>
          <w:lang w:val="en-US"/>
        </w:rPr>
        <w:t xml:space="preserve"> </w:t>
      </w:r>
      <w:r w:rsidRPr="001500DF">
        <w:rPr>
          <w:i/>
        </w:rPr>
        <w:t>Ahmed Ibn Hanbal and the Mihna: A Biography of the Imam Including an Account of the Mohammedan Inquisition Called the Mihna, 218-234 A. H</w:t>
      </w:r>
      <w:r w:rsidRPr="001A1EB8">
        <w:t>.</w:t>
      </w:r>
      <w:r>
        <w:rPr>
          <w:lang w:val="en-US"/>
        </w:rPr>
        <w:t xml:space="preserve"> Buku ini lebih banyak mencermati peristiwa </w:t>
      </w:r>
      <w:r>
        <w:rPr>
          <w:i/>
          <w:lang w:val="en-US"/>
        </w:rPr>
        <w:t xml:space="preserve">mihnah </w:t>
      </w:r>
      <w:r>
        <w:rPr>
          <w:lang w:val="en-US"/>
        </w:rPr>
        <w:t xml:space="preserve">dari biografi Imam Ahmad bin Hanbal. Penelitian lain </w:t>
      </w:r>
      <w:r w:rsidR="0063504E">
        <w:rPr>
          <w:lang w:val="en-US"/>
        </w:rPr>
        <w:t xml:space="preserve">misalnya Lee A. Knelliker yang berjudul </w:t>
      </w:r>
      <w:r w:rsidR="0063504E">
        <w:rPr>
          <w:i/>
          <w:lang w:val="en-US"/>
        </w:rPr>
        <w:t>The Mihna: Ma’mun’s Inquisition for Supremacy.</w:t>
      </w:r>
      <w:r w:rsidR="0063504E">
        <w:rPr>
          <w:rStyle w:val="FootnoteReference"/>
          <w:i/>
          <w:lang w:val="en-US"/>
        </w:rPr>
        <w:footnoteReference w:id="9"/>
      </w:r>
    </w:p>
    <w:p w:rsidR="0063504E" w:rsidRPr="0063504E" w:rsidRDefault="0063504E" w:rsidP="00031D03">
      <w:pPr>
        <w:autoSpaceDE w:val="0"/>
        <w:autoSpaceDN w:val="0"/>
        <w:adjustRightInd w:val="0"/>
        <w:spacing w:line="480" w:lineRule="auto"/>
        <w:ind w:firstLine="709"/>
        <w:jc w:val="both"/>
        <w:rPr>
          <w:rFonts w:ascii="Arial Unicode MS" w:eastAsia="Arial Unicode MS" w:hAnsi="Arial Unicode MS" w:cs="Arial Unicode MS"/>
          <w:noProof w:val="0"/>
          <w:sz w:val="14"/>
          <w:szCs w:val="14"/>
          <w:lang w:val="en-US"/>
        </w:rPr>
      </w:pPr>
      <w:r>
        <w:rPr>
          <w:lang w:val="en-US"/>
        </w:rPr>
        <w:t xml:space="preserve"> Beberapa penelitian dan tulisan sebelumnya tentang </w:t>
      </w:r>
      <w:r>
        <w:rPr>
          <w:i/>
          <w:lang w:val="en-US"/>
        </w:rPr>
        <w:t xml:space="preserve">mihnah Mu’tazilah </w:t>
      </w:r>
      <w:r>
        <w:rPr>
          <w:lang w:val="en-US"/>
        </w:rPr>
        <w:t xml:space="preserve">secara umum membahasnya hanya dari perspektif sejarah untuk menceritakan drama peristiwa </w:t>
      </w:r>
      <w:r>
        <w:rPr>
          <w:i/>
          <w:lang w:val="en-US"/>
        </w:rPr>
        <w:t xml:space="preserve">mihnah </w:t>
      </w:r>
      <w:r>
        <w:rPr>
          <w:lang w:val="en-US"/>
        </w:rPr>
        <w:t xml:space="preserve">tersebut atau menggunakan perspektif teologis untuk menghakimi “kejahatan Mu’tazilah”. Kiranya diperlukan perspektif-perspektif alternatif untuk membaca fenomena </w:t>
      </w:r>
      <w:r>
        <w:rPr>
          <w:i/>
          <w:lang w:val="en-US"/>
        </w:rPr>
        <w:t xml:space="preserve">mihnah </w:t>
      </w:r>
      <w:r>
        <w:rPr>
          <w:lang w:val="en-US"/>
        </w:rPr>
        <w:t xml:space="preserve">ini sehingga fenomana ini bisa dipahami secara lebih utuh </w:t>
      </w:r>
      <w:r>
        <w:rPr>
          <w:lang w:val="en-US"/>
        </w:rPr>
        <w:lastRenderedPageBreak/>
        <w:t xml:space="preserve">dan komprehensif, khususnya dalam aspek persekutuan antara dunia politik yang diwakili oleh Dinasti Abbasiyah dan dunia agama yang diwakili oleh Mu’tazilah yang saat itu menjadi mazhab negara. Perspektif teori relasi pengatahuan dan kekuasaan </w:t>
      </w:r>
      <w:r w:rsidR="00771D97">
        <w:rPr>
          <w:lang w:val="en-US"/>
        </w:rPr>
        <w:t xml:space="preserve">dari Michel Foucault </w:t>
      </w:r>
      <w:r>
        <w:rPr>
          <w:lang w:val="en-US"/>
        </w:rPr>
        <w:t xml:space="preserve">akan membantu untuk membaca persekutuan ini. </w:t>
      </w:r>
    </w:p>
    <w:p w:rsidR="00D3027E" w:rsidRDefault="00D3027E" w:rsidP="00031D03">
      <w:pPr>
        <w:spacing w:line="480" w:lineRule="auto"/>
        <w:jc w:val="both"/>
        <w:rPr>
          <w:b/>
          <w:lang w:val="en-US"/>
        </w:rPr>
      </w:pPr>
    </w:p>
    <w:p w:rsidR="00D6403C" w:rsidRPr="00BE2E53" w:rsidRDefault="00BE2E53" w:rsidP="00031D03">
      <w:pPr>
        <w:spacing w:line="480" w:lineRule="auto"/>
        <w:jc w:val="both"/>
        <w:rPr>
          <w:b/>
          <w:lang w:val="en-US"/>
        </w:rPr>
      </w:pPr>
      <w:r w:rsidRPr="00BE2E53">
        <w:rPr>
          <w:b/>
          <w:lang w:val="en-US"/>
        </w:rPr>
        <w:t xml:space="preserve">E. </w:t>
      </w:r>
      <w:r w:rsidR="00D6403C" w:rsidRPr="00BE2E53">
        <w:rPr>
          <w:b/>
          <w:lang w:val="en-US"/>
        </w:rPr>
        <w:t>Landasan Teori</w:t>
      </w:r>
    </w:p>
    <w:p w:rsidR="007248BC" w:rsidRDefault="007248BC"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 xml:space="preserve">Peristiwa </w:t>
      </w:r>
      <w:r>
        <w:rPr>
          <w:rFonts w:ascii="TimesNewRoman" w:eastAsiaTheme="minorHAnsi" w:hAnsi="TimesNewRoman" w:cs="TimesNewRoman"/>
          <w:i/>
          <w:noProof w:val="0"/>
          <w:lang w:val="en-US"/>
        </w:rPr>
        <w:t xml:space="preserve">mihnah </w:t>
      </w:r>
      <w:r w:rsidRPr="007248BC">
        <w:rPr>
          <w:rFonts w:ascii="TimesNewRoman" w:eastAsiaTheme="minorHAnsi" w:hAnsi="TimesNewRoman" w:cs="TimesNewRoman"/>
          <w:noProof w:val="0"/>
          <w:lang w:val="en-US"/>
        </w:rPr>
        <w:t>Mu’tazilah</w:t>
      </w:r>
      <w:r>
        <w:rPr>
          <w:rFonts w:ascii="TimesNewRoman" w:eastAsiaTheme="minorHAnsi" w:hAnsi="TimesNewRoman" w:cs="TimesNewRoman"/>
          <w:i/>
          <w:noProof w:val="0"/>
          <w:lang w:val="en-US"/>
        </w:rPr>
        <w:t xml:space="preserve"> </w:t>
      </w:r>
      <w:r>
        <w:rPr>
          <w:rFonts w:ascii="TimesNewRoman" w:eastAsiaTheme="minorHAnsi" w:hAnsi="TimesNewRoman" w:cs="TimesNewRoman"/>
          <w:noProof w:val="0"/>
          <w:lang w:val="en-US"/>
        </w:rPr>
        <w:t xml:space="preserve">dapat dikatakan satu contoh yang tegas ketika penguasa ingin menghegemoni dan memaksakan produksi makna di tengah masyarakat. Silang pendapat, pergulatan, dan pertarungan pemikiran antara pihak penguasa dan para ulama tentang masalah keyakinan terhadap al-Qur’an dalam persepektif analisis wacana akan melahirkan suatu interaksi dan relasi dominatif, yang dalam pemikiran Michel Foucault dikenal dengan terminologi relasi kuasa. </w:t>
      </w:r>
    </w:p>
    <w:p w:rsidR="007248BC" w:rsidRDefault="007248BC"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 xml:space="preserve">Foucault banyak mengupas tentang hubungan “kecurigaan” dan kepentingan dalam relasi pengetahuan </w:t>
      </w:r>
      <w:r>
        <w:rPr>
          <w:rFonts w:ascii="TimesNewRomanPS-ItalicMT" w:eastAsiaTheme="minorHAnsi" w:hAnsi="TimesNewRomanPS-ItalicMT" w:cs="TimesNewRomanPS-ItalicMT"/>
          <w:i/>
          <w:iCs/>
          <w:noProof w:val="0"/>
          <w:lang w:val="en-US"/>
        </w:rPr>
        <w:t xml:space="preserve">(knowledge) </w:t>
      </w:r>
      <w:r>
        <w:rPr>
          <w:rFonts w:ascii="TimesNewRoman" w:eastAsiaTheme="minorHAnsi" w:hAnsi="TimesNewRoman" w:cs="TimesNewRoman"/>
          <w:noProof w:val="0"/>
          <w:lang w:val="en-US"/>
        </w:rPr>
        <w:t xml:space="preserve">dan kekuasaan </w:t>
      </w:r>
      <w:r>
        <w:rPr>
          <w:rFonts w:ascii="TimesNewRomanPS-ItalicMT" w:eastAsiaTheme="minorHAnsi" w:hAnsi="TimesNewRomanPS-ItalicMT" w:cs="TimesNewRomanPS-ItalicMT"/>
          <w:i/>
          <w:iCs/>
          <w:noProof w:val="0"/>
          <w:lang w:val="en-US"/>
        </w:rPr>
        <w:t xml:space="preserve">(power). </w:t>
      </w:r>
      <w:r>
        <w:rPr>
          <w:rFonts w:ascii="TimesNewRoman" w:eastAsiaTheme="minorHAnsi" w:hAnsi="TimesNewRoman" w:cs="TimesNewRoman"/>
          <w:noProof w:val="0"/>
          <w:lang w:val="en-US"/>
        </w:rPr>
        <w:t xml:space="preserve">Kuasa menurut definisi Foucault adalah suatu hal yang tidak hanya dimiliki tetapi dipraktikkan dalam suatu ruang lingkup dimana ada banyak posisi, yang berkaitan satu sama lainnya. Preposisi ini mengantarkan pada satu kesimpulan bahwa strategi kuasa bersifat </w:t>
      </w:r>
      <w:r>
        <w:rPr>
          <w:rFonts w:ascii="TimesNewRomanPS-ItalicMT" w:eastAsiaTheme="minorHAnsi" w:hAnsi="TimesNewRomanPS-ItalicMT" w:cs="TimesNewRomanPS-ItalicMT"/>
          <w:i/>
          <w:iCs/>
          <w:noProof w:val="0"/>
          <w:lang w:val="en-US"/>
        </w:rPr>
        <w:t xml:space="preserve">de-centering </w:t>
      </w:r>
      <w:r>
        <w:rPr>
          <w:rFonts w:ascii="TimesNewRoman" w:eastAsiaTheme="minorHAnsi" w:hAnsi="TimesNewRoman" w:cs="TimesNewRoman"/>
          <w:noProof w:val="0"/>
          <w:lang w:val="en-US"/>
        </w:rPr>
        <w:t>sehingga prosesnya berlangsung di manapun; di mana terdapat susunan, aturan</w:t>
      </w:r>
      <w:r w:rsidR="0030061B">
        <w:rPr>
          <w:rFonts w:ascii="TimesNewRoman" w:eastAsiaTheme="minorHAnsi" w:hAnsi="TimesNewRoman" w:cs="TimesNewRoman"/>
          <w:noProof w:val="0"/>
          <w:lang w:val="en-US"/>
        </w:rPr>
        <w:t>-aturan, sistem-sistem regulasi. D</w:t>
      </w:r>
      <w:r>
        <w:rPr>
          <w:rFonts w:ascii="TimesNewRoman" w:eastAsiaTheme="minorHAnsi" w:hAnsi="TimesNewRoman" w:cs="TimesNewRoman"/>
          <w:noProof w:val="0"/>
          <w:lang w:val="en-US"/>
        </w:rPr>
        <w:t>imana ada manusia yang saling berhubungan dengan dunia tertentu, di situlah relasi kuasa hidup dan beroperasi.</w:t>
      </w:r>
    </w:p>
    <w:p w:rsidR="007248BC" w:rsidRDefault="007248BC"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Bagi</w:t>
      </w:r>
      <w:r w:rsidR="0030061B">
        <w:rPr>
          <w:rFonts w:ascii="TimesNewRoman" w:eastAsiaTheme="minorHAnsi" w:hAnsi="TimesNewRoman" w:cs="TimesNewRoman"/>
          <w:noProof w:val="0"/>
          <w:lang w:val="en-US"/>
        </w:rPr>
        <w:t xml:space="preserve"> Foucault, kekuasaan selalu ter</w:t>
      </w:r>
      <w:r>
        <w:rPr>
          <w:rFonts w:ascii="TimesNewRoman" w:eastAsiaTheme="minorHAnsi" w:hAnsi="TimesNewRoman" w:cs="TimesNewRoman"/>
          <w:noProof w:val="0"/>
          <w:lang w:val="en-US"/>
        </w:rPr>
        <w:t xml:space="preserve">artikulasikan lewat pengetahuan, dan pengetahuan selalu menimbulkan efek kuasa. Penguasa selalu memproduksi </w:t>
      </w:r>
      <w:r>
        <w:rPr>
          <w:rFonts w:ascii="TimesNewRoman" w:eastAsiaTheme="minorHAnsi" w:hAnsi="TimesNewRoman" w:cs="TimesNewRoman"/>
          <w:noProof w:val="0"/>
          <w:lang w:val="en-US"/>
        </w:rPr>
        <w:lastRenderedPageBreak/>
        <w:t>pengetahuan sebagai basis kekuasaaannya. Penguasa tidak memperbolehkan adanya kekuatan wacana tandingan yang nantinya dapat mempengaruhi kebijakan dan kelangsungan kekuasaannya. la akan menyingkirkan kekuatan-kekuatan oposisi dengan menerapkan kebijakan dan berbagai peraturan yang bersifat menekan pihak</w:t>
      </w:r>
      <w:r w:rsidR="0030061B">
        <w:rPr>
          <w:rFonts w:ascii="TimesNewRoman" w:eastAsiaTheme="minorHAnsi" w:hAnsi="TimesNewRoman" w:cs="TimesNewRoman"/>
          <w:noProof w:val="0"/>
        </w:rPr>
        <w:t>-</w:t>
      </w:r>
      <w:r>
        <w:rPr>
          <w:rFonts w:ascii="TimesNewRoman" w:eastAsiaTheme="minorHAnsi" w:hAnsi="TimesNewRoman" w:cs="TimesNewRoman"/>
          <w:noProof w:val="0"/>
          <w:lang w:val="en-US"/>
        </w:rPr>
        <w:t>pihak yang tidak sepakat dengan penguasa.</w:t>
      </w:r>
      <w:r>
        <w:rPr>
          <w:rStyle w:val="FootnoteReference"/>
          <w:rFonts w:ascii="TimesNewRoman" w:eastAsiaTheme="minorHAnsi" w:hAnsi="TimesNewRoman" w:cs="TimesNewRoman"/>
          <w:noProof w:val="0"/>
          <w:lang w:val="en-US"/>
        </w:rPr>
        <w:footnoteReference w:id="10"/>
      </w:r>
    </w:p>
    <w:p w:rsidR="007248BC" w:rsidRDefault="007248BC"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Pengetahuan tidak merupakan pengungkapan samar-samar dari relasi kuasa, tetapi jaringan pengetahuan berada dalam konstruksi relasi kuasa itu sendiri. Kuasa memproduksi pengetahuan bukan saja karena pengetahuan berguna bagi penguasa dan tidak ada pengetahuan tanpa kekuasaaan, sebaliknya tidak ada kuasa tanpa pengetahuan.</w:t>
      </w:r>
      <w:r>
        <w:rPr>
          <w:rStyle w:val="FootnoteReference"/>
          <w:rFonts w:ascii="TimesNewRoman" w:eastAsiaTheme="minorHAnsi" w:hAnsi="TimesNewRoman" w:cs="TimesNewRoman"/>
          <w:noProof w:val="0"/>
          <w:lang w:val="en-US"/>
        </w:rPr>
        <w:footnoteReference w:id="11"/>
      </w:r>
    </w:p>
    <w:p w:rsidR="007248BC" w:rsidRDefault="007248BC"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Dalam perspektif analisis wacana relasi kuasa, peristiwa “mihnah” mengisyaratkan adanya kekuatan legitimasi dari pemerintahan al-Makmun untuk mengukuhkan wacana “mihnah” sebagai alat politik untuk menyingkirkan lawan ideologi penguasa sekaligus membangun dominasi ideologi Mu’tazilah. Dan aparatus penguasa berusaha untuk menetapkan ideologi Mu’tazilah sebagai ideologi resmi negara yang bersifat tunggal.</w:t>
      </w:r>
    </w:p>
    <w:p w:rsidR="007248BC" w:rsidRDefault="007248BC" w:rsidP="00031D03">
      <w:pPr>
        <w:spacing w:line="480" w:lineRule="auto"/>
        <w:jc w:val="both"/>
        <w:rPr>
          <w:lang w:val="en-US"/>
        </w:rPr>
      </w:pPr>
    </w:p>
    <w:p w:rsidR="00D6403C" w:rsidRPr="003F47A1" w:rsidRDefault="003F47A1" w:rsidP="00031D03">
      <w:pPr>
        <w:spacing w:line="480" w:lineRule="auto"/>
        <w:jc w:val="both"/>
        <w:rPr>
          <w:b/>
          <w:lang w:val="en-US"/>
        </w:rPr>
      </w:pPr>
      <w:r>
        <w:rPr>
          <w:b/>
          <w:lang w:val="en-US"/>
        </w:rPr>
        <w:t xml:space="preserve">F. </w:t>
      </w:r>
      <w:r w:rsidR="00D6403C" w:rsidRPr="003F47A1">
        <w:rPr>
          <w:b/>
          <w:lang w:val="en-US"/>
        </w:rPr>
        <w:t>Metode Penelitian</w:t>
      </w:r>
    </w:p>
    <w:p w:rsidR="003F47A1" w:rsidRDefault="003F47A1"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 xml:space="preserve">Penelitian ini termasuk penelitian kepustakaan </w:t>
      </w:r>
      <w:r>
        <w:rPr>
          <w:rFonts w:ascii="TimesNewRomanPS-ItalicMT" w:eastAsiaTheme="minorHAnsi" w:hAnsi="TimesNewRomanPS-ItalicMT" w:cs="TimesNewRomanPS-ItalicMT"/>
          <w:i/>
          <w:iCs/>
          <w:noProof w:val="0"/>
          <w:lang w:val="en-US"/>
        </w:rPr>
        <w:t xml:space="preserve">(library research) </w:t>
      </w:r>
      <w:r>
        <w:rPr>
          <w:rFonts w:ascii="TimesNewRoman" w:eastAsiaTheme="minorHAnsi" w:hAnsi="TimesNewRoman" w:cs="TimesNewRoman"/>
          <w:noProof w:val="0"/>
          <w:lang w:val="en-US"/>
        </w:rPr>
        <w:t xml:space="preserve">karena sumber datanya berasal dari hasil telaah pustaka. Pendekatan yang digunakan dalam </w:t>
      </w:r>
      <w:r>
        <w:rPr>
          <w:rFonts w:ascii="TimesNewRoman" w:eastAsiaTheme="minorHAnsi" w:hAnsi="TimesNewRoman" w:cs="TimesNewRoman"/>
          <w:noProof w:val="0"/>
          <w:lang w:val="en-US"/>
        </w:rPr>
        <w:lastRenderedPageBreak/>
        <w:t xml:space="preserve">analisis untuk penelitian ini adalah pendekatan kritik sejarah </w:t>
      </w:r>
      <w:r>
        <w:rPr>
          <w:rFonts w:ascii="TimesNewRomanPS-ItalicMT" w:eastAsiaTheme="minorHAnsi" w:hAnsi="TimesNewRomanPS-ItalicMT" w:cs="TimesNewRomanPS-ItalicMT"/>
          <w:i/>
          <w:iCs/>
          <w:noProof w:val="0"/>
          <w:lang w:val="en-US"/>
        </w:rPr>
        <w:t xml:space="preserve">(Critical History) </w:t>
      </w:r>
      <w:r w:rsidR="0030061B">
        <w:rPr>
          <w:rFonts w:ascii="TimesNewRoman" w:eastAsiaTheme="minorHAnsi" w:hAnsi="TimesNewRoman" w:cs="TimesNewRoman"/>
          <w:noProof w:val="0"/>
          <w:lang w:val="en-US"/>
        </w:rPr>
        <w:t>dengan meng</w:t>
      </w:r>
      <w:r>
        <w:rPr>
          <w:rFonts w:ascii="TimesNewRoman" w:eastAsiaTheme="minorHAnsi" w:hAnsi="TimesNewRoman" w:cs="TimesNewRoman"/>
          <w:noProof w:val="0"/>
          <w:lang w:val="en-US"/>
        </w:rPr>
        <w:t xml:space="preserve">gunakan perspektif analisis wacana </w:t>
      </w:r>
      <w:r>
        <w:rPr>
          <w:rFonts w:ascii="TimesNewRoman" w:eastAsiaTheme="minorHAnsi" w:hAnsi="TimesNewRoman" w:cs="TimesNewRoman"/>
          <w:i/>
          <w:noProof w:val="0"/>
          <w:lang w:val="en-US"/>
        </w:rPr>
        <w:t xml:space="preserve">foucaludian </w:t>
      </w:r>
      <w:r>
        <w:rPr>
          <w:rFonts w:ascii="TimesNewRoman" w:eastAsiaTheme="minorHAnsi" w:hAnsi="TimesNewRoman" w:cs="TimesNewRoman"/>
          <w:noProof w:val="0"/>
          <w:lang w:val="en-US"/>
        </w:rPr>
        <w:t>khususnya yang berkenaan dengan relasi pengetahuan dan kekuasaan.</w:t>
      </w:r>
    </w:p>
    <w:p w:rsidR="003F47A1" w:rsidRDefault="003F47A1"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Data</w:t>
      </w:r>
      <w:r w:rsidR="006C2C63">
        <w:rPr>
          <w:rFonts w:ascii="TimesNewRoman" w:eastAsiaTheme="minorHAnsi" w:hAnsi="TimesNewRoman" w:cs="TimesNewRoman"/>
          <w:noProof w:val="0"/>
          <w:lang w:val="en-US"/>
        </w:rPr>
        <w:t xml:space="preserve">-data penelitian ini </w:t>
      </w:r>
      <w:r>
        <w:rPr>
          <w:rFonts w:ascii="TimesNewRoman" w:eastAsiaTheme="minorHAnsi" w:hAnsi="TimesNewRoman" w:cs="TimesNewRoman"/>
          <w:noProof w:val="0"/>
          <w:lang w:val="en-US"/>
        </w:rPr>
        <w:t>diperoleh dari buku-buku, artikel-artikel di jurna</w:t>
      </w:r>
      <w:r w:rsidR="006C2C63">
        <w:rPr>
          <w:rFonts w:ascii="TimesNewRoman" w:eastAsiaTheme="minorHAnsi" w:hAnsi="TimesNewRoman" w:cs="TimesNewRoman"/>
          <w:noProof w:val="0"/>
          <w:lang w:val="en-US"/>
        </w:rPr>
        <w:t>l</w:t>
      </w:r>
      <w:r>
        <w:rPr>
          <w:rFonts w:ascii="TimesNewRoman" w:eastAsiaTheme="minorHAnsi" w:hAnsi="TimesNewRoman" w:cs="TimesNewRoman"/>
          <w:noProof w:val="0"/>
          <w:lang w:val="en-US"/>
        </w:rPr>
        <w:t xml:space="preserve"> ilmiah juga data-data digital di website yang berkaitan dengan peristiwa “mihnah” </w:t>
      </w:r>
      <w:r w:rsidR="006C2C63">
        <w:rPr>
          <w:rFonts w:ascii="TimesNewRoman" w:eastAsiaTheme="minorHAnsi" w:hAnsi="TimesNewRoman" w:cs="TimesNewRoman"/>
          <w:noProof w:val="0"/>
          <w:lang w:val="en-US"/>
        </w:rPr>
        <w:t xml:space="preserve">dan </w:t>
      </w:r>
      <w:r>
        <w:rPr>
          <w:rFonts w:ascii="TimesNewRoman" w:eastAsiaTheme="minorHAnsi" w:hAnsi="TimesNewRoman" w:cs="TimesNewRoman"/>
          <w:noProof w:val="0"/>
          <w:lang w:val="en-US"/>
        </w:rPr>
        <w:t>analisis wacana Michel Foulcault</w:t>
      </w:r>
      <w:r w:rsidR="006C2C63">
        <w:rPr>
          <w:rFonts w:ascii="TimesNewRoman" w:eastAsiaTheme="minorHAnsi" w:hAnsi="TimesNewRoman" w:cs="TimesNewRoman"/>
          <w:noProof w:val="0"/>
          <w:lang w:val="en-US"/>
        </w:rPr>
        <w:t>, baik yang sifatnya primer maupun sekunder. Oleh karena itu, teknik pengumpulan data yang digunakan dalam penelitian ini adalah dokumentasi.</w:t>
      </w:r>
    </w:p>
    <w:p w:rsidR="003F47A1" w:rsidRDefault="006C2C63" w:rsidP="00031D03">
      <w:pPr>
        <w:autoSpaceDE w:val="0"/>
        <w:autoSpaceDN w:val="0"/>
        <w:adjustRightInd w:val="0"/>
        <w:spacing w:line="480" w:lineRule="auto"/>
        <w:ind w:firstLine="709"/>
        <w:jc w:val="both"/>
        <w:rPr>
          <w:rFonts w:ascii="TimesNewRoman" w:eastAsiaTheme="minorHAnsi" w:hAnsi="TimesNewRoman" w:cs="TimesNewRoman"/>
          <w:noProof w:val="0"/>
          <w:lang w:val="en-US"/>
        </w:rPr>
      </w:pPr>
      <w:r>
        <w:rPr>
          <w:rFonts w:ascii="TimesNewRoman" w:eastAsiaTheme="minorHAnsi" w:hAnsi="TimesNewRoman" w:cs="TimesNewRoman"/>
          <w:noProof w:val="0"/>
          <w:lang w:val="en-US"/>
        </w:rPr>
        <w:t>Setelah data terkumpul, maka dilakukan klasifikasi dan interpretasi data</w:t>
      </w:r>
      <w:r w:rsidR="000F01A0">
        <w:rPr>
          <w:rFonts w:ascii="TimesNewRoman" w:eastAsiaTheme="minorHAnsi" w:hAnsi="TimesNewRoman" w:cs="TimesNewRoman"/>
          <w:noProof w:val="0"/>
          <w:lang w:val="en-US"/>
        </w:rPr>
        <w:t xml:space="preserve"> sesuai dengan relevansi dan fok</w:t>
      </w:r>
      <w:r>
        <w:rPr>
          <w:rFonts w:ascii="TimesNewRoman" w:eastAsiaTheme="minorHAnsi" w:hAnsi="TimesNewRoman" w:cs="TimesNewRoman"/>
          <w:noProof w:val="0"/>
          <w:lang w:val="en-US"/>
        </w:rPr>
        <w:t xml:space="preserve">us permasalahan yang dibahas dalam penelitian ini, untuk selanjutnya hasil klasifikasi dan interpretasi tersebut akan dianalisis dengan perangkat teoritik yang telah ditetapkan, yaitu analisis </w:t>
      </w:r>
      <w:r w:rsidR="0030061B">
        <w:rPr>
          <w:rFonts w:ascii="TimesNewRoman" w:eastAsiaTheme="minorHAnsi" w:hAnsi="TimesNewRoman" w:cs="TimesNewRoman"/>
          <w:noProof w:val="0"/>
          <w:lang w:val="en-US"/>
        </w:rPr>
        <w:t>dari</w:t>
      </w:r>
      <w:r w:rsidR="000F01A0">
        <w:rPr>
          <w:rFonts w:ascii="TimesNewRoman" w:eastAsiaTheme="minorHAnsi" w:hAnsi="TimesNewRoman" w:cs="TimesNewRoman"/>
          <w:noProof w:val="0"/>
          <w:lang w:val="en-US"/>
        </w:rPr>
        <w:t xml:space="preserve"> perspektif teori relasi kuasa </w:t>
      </w:r>
      <w:r>
        <w:rPr>
          <w:rFonts w:ascii="TimesNewRoman" w:eastAsiaTheme="minorHAnsi" w:hAnsi="TimesNewRoman" w:cs="TimesNewRoman"/>
          <w:i/>
          <w:noProof w:val="0"/>
          <w:lang w:val="en-US"/>
        </w:rPr>
        <w:t>foucauldian.</w:t>
      </w:r>
    </w:p>
    <w:p w:rsidR="000F01A0" w:rsidRPr="000F01A0" w:rsidRDefault="006C2C63" w:rsidP="00031D03">
      <w:pPr>
        <w:autoSpaceDE w:val="0"/>
        <w:autoSpaceDN w:val="0"/>
        <w:adjustRightInd w:val="0"/>
        <w:spacing w:line="480" w:lineRule="auto"/>
        <w:ind w:firstLine="709"/>
        <w:jc w:val="both"/>
        <w:rPr>
          <w:lang w:val="en-US"/>
        </w:rPr>
      </w:pPr>
      <w:r>
        <w:rPr>
          <w:rFonts w:ascii="TimesNewRoman" w:eastAsiaTheme="minorHAnsi" w:hAnsi="TimesNewRoman" w:cs="TimesNewRoman"/>
          <w:noProof w:val="0"/>
          <w:lang w:val="en-US"/>
        </w:rPr>
        <w:t xml:space="preserve">Penyimpulan terhadap temuan penelitian ini akan dilakukan dengan </w:t>
      </w:r>
      <w:r w:rsidR="000F01A0">
        <w:rPr>
          <w:rFonts w:ascii="TimesNewRoman" w:eastAsiaTheme="minorHAnsi" w:hAnsi="TimesNewRoman" w:cs="TimesNewRoman"/>
          <w:noProof w:val="0"/>
          <w:lang w:val="en-US"/>
        </w:rPr>
        <w:t>metode induksi</w:t>
      </w:r>
      <w:r>
        <w:rPr>
          <w:rFonts w:ascii="TimesNewRoman" w:eastAsiaTheme="minorHAnsi" w:hAnsi="TimesNewRoman" w:cs="TimesNewRoman"/>
          <w:noProof w:val="0"/>
          <w:lang w:val="en-US"/>
        </w:rPr>
        <w:t xml:space="preserve"> yaitu</w:t>
      </w:r>
      <w:r w:rsidR="003F47A1">
        <w:rPr>
          <w:rFonts w:ascii="TimesNewRoman" w:eastAsiaTheme="minorHAnsi" w:hAnsi="TimesNewRoman" w:cs="TimesNewRoman"/>
          <w:noProof w:val="0"/>
          <w:lang w:val="en-US"/>
        </w:rPr>
        <w:t xml:space="preserve"> berangkat dari faktor yang khusus/</w:t>
      </w:r>
      <w:r w:rsidR="000F01A0">
        <w:rPr>
          <w:rFonts w:ascii="TimesNewRoman" w:eastAsiaTheme="minorHAnsi" w:hAnsi="TimesNewRoman" w:cs="TimesNewRoman"/>
          <w:noProof w:val="0"/>
          <w:lang w:val="en-US"/>
        </w:rPr>
        <w:t xml:space="preserve">variabel data yang khusus </w:t>
      </w:r>
      <w:r w:rsidR="003F47A1">
        <w:rPr>
          <w:rFonts w:ascii="TimesNewRoman" w:eastAsiaTheme="minorHAnsi" w:hAnsi="TimesNewRoman" w:cs="TimesNewRoman"/>
          <w:noProof w:val="0"/>
          <w:lang w:val="en-US"/>
        </w:rPr>
        <w:t xml:space="preserve">kemudian dari faktor-faktor yang khusus itu ditarik generalisasi yang </w:t>
      </w:r>
      <w:r>
        <w:rPr>
          <w:rFonts w:ascii="TimesNewRoman" w:eastAsiaTheme="minorHAnsi" w:hAnsi="TimesNewRoman" w:cs="TimesNewRoman"/>
          <w:noProof w:val="0"/>
          <w:lang w:val="en-US"/>
        </w:rPr>
        <w:t xml:space="preserve">bersifat </w:t>
      </w:r>
      <w:r w:rsidR="003F47A1">
        <w:rPr>
          <w:rFonts w:ascii="TimesNewRoman" w:eastAsiaTheme="minorHAnsi" w:hAnsi="TimesNewRoman" w:cs="TimesNewRoman"/>
          <w:noProof w:val="0"/>
          <w:lang w:val="en-US"/>
        </w:rPr>
        <w:t xml:space="preserve">umum. </w:t>
      </w:r>
    </w:p>
    <w:sectPr w:rsidR="000F01A0" w:rsidRPr="000F01A0" w:rsidSect="0006063E">
      <w:headerReference w:type="default" r:id="rId7"/>
      <w:footerReference w:type="default" r:id="rId8"/>
      <w:pgSz w:w="12240" w:h="15840"/>
      <w:pgMar w:top="2268" w:right="1701" w:bottom="1701" w:left="22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2FC9" w:rsidRDefault="00962FC9" w:rsidP="002C065F">
      <w:r>
        <w:separator/>
      </w:r>
    </w:p>
  </w:endnote>
  <w:endnote w:type="continuationSeparator" w:id="0">
    <w:p w:rsidR="00962FC9" w:rsidRDefault="00962FC9" w:rsidP="002C0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TimesNewRoman">
    <w:panose1 w:val="00000000000000000000"/>
    <w:charset w:val="00"/>
    <w:family w:val="roman"/>
    <w:notTrueType/>
    <w:pitch w:val="default"/>
    <w:sig w:usb0="00000003" w:usb1="00000000" w:usb2="00000000" w:usb3="00000000" w:csb0="00000001" w:csb1="00000000"/>
  </w:font>
  <w:font w:name="TimesNewRomanPS-Italic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D97" w:rsidRDefault="00771D97">
    <w:pPr>
      <w:pStyle w:val="Footer"/>
      <w:jc w:val="center"/>
    </w:pPr>
  </w:p>
  <w:p w:rsidR="00771D97" w:rsidRDefault="00771D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2FC9" w:rsidRDefault="00962FC9" w:rsidP="002C065F">
      <w:r>
        <w:separator/>
      </w:r>
    </w:p>
  </w:footnote>
  <w:footnote w:type="continuationSeparator" w:id="0">
    <w:p w:rsidR="00962FC9" w:rsidRDefault="00962FC9" w:rsidP="002C065F">
      <w:r>
        <w:continuationSeparator/>
      </w:r>
    </w:p>
  </w:footnote>
  <w:footnote w:id="1">
    <w:p w:rsidR="00FF5217" w:rsidRPr="0006063E" w:rsidRDefault="00FF5217" w:rsidP="0063504E">
      <w:pPr>
        <w:ind w:firstLine="709"/>
        <w:jc w:val="both"/>
        <w:rPr>
          <w:noProof w:val="0"/>
          <w:lang w:val="en-US"/>
        </w:rPr>
      </w:pPr>
      <w:r>
        <w:rPr>
          <w:rStyle w:val="FootnoteReference"/>
        </w:rPr>
        <w:footnoteRef/>
      </w:r>
      <w:r>
        <w:rPr>
          <w:lang w:val="en-US"/>
        </w:rPr>
        <w:t xml:space="preserve"> </w:t>
      </w:r>
      <w:r>
        <w:rPr>
          <w:noProof w:val="0"/>
          <w:sz w:val="20"/>
          <w:lang w:val="en-US"/>
        </w:rPr>
        <w:t xml:space="preserve">Eriyanto,  </w:t>
      </w:r>
      <w:r w:rsidRPr="006C2C63">
        <w:rPr>
          <w:i/>
          <w:noProof w:val="0"/>
          <w:sz w:val="20"/>
          <w:lang w:val="en-US"/>
        </w:rPr>
        <w:t>Analisis Wacana</w:t>
      </w:r>
      <w:r>
        <w:rPr>
          <w:i/>
          <w:noProof w:val="0"/>
          <w:sz w:val="20"/>
          <w:lang w:val="en-US"/>
        </w:rPr>
        <w:t xml:space="preserve"> </w:t>
      </w:r>
      <w:r>
        <w:rPr>
          <w:noProof w:val="0"/>
          <w:sz w:val="20"/>
          <w:lang w:val="en-US"/>
        </w:rPr>
        <w:t xml:space="preserve"> </w:t>
      </w:r>
      <w:r w:rsidRPr="0006063E">
        <w:rPr>
          <w:i/>
          <w:noProof w:val="0"/>
          <w:sz w:val="20"/>
          <w:lang w:val="en-US"/>
        </w:rPr>
        <w:t>Pengantar Analisis Teks Media</w:t>
      </w:r>
      <w:r w:rsidRPr="0006063E">
        <w:rPr>
          <w:noProof w:val="0"/>
          <w:sz w:val="20"/>
          <w:lang w:val="en-US"/>
        </w:rPr>
        <w:t xml:space="preserve">, </w:t>
      </w:r>
      <w:r>
        <w:rPr>
          <w:noProof w:val="0"/>
          <w:sz w:val="20"/>
          <w:lang w:val="en-US"/>
        </w:rPr>
        <w:t xml:space="preserve">(Yogyakarta: </w:t>
      </w:r>
      <w:r w:rsidRPr="0006063E">
        <w:rPr>
          <w:noProof w:val="0"/>
          <w:sz w:val="20"/>
          <w:lang w:val="en-US"/>
        </w:rPr>
        <w:t>LKiS, 2003</w:t>
      </w:r>
      <w:r>
        <w:rPr>
          <w:noProof w:val="0"/>
          <w:sz w:val="20"/>
          <w:lang w:val="en-US"/>
        </w:rPr>
        <w:t>), hlm. 65</w:t>
      </w:r>
    </w:p>
    <w:p w:rsidR="00FF5217" w:rsidRPr="0006063E" w:rsidRDefault="00FF5217" w:rsidP="0063504E">
      <w:pPr>
        <w:pStyle w:val="FootnoteText"/>
        <w:ind w:firstLine="709"/>
        <w:jc w:val="both"/>
        <w:rPr>
          <w:lang w:val="en-US"/>
        </w:rPr>
      </w:pPr>
      <w:r>
        <w:t xml:space="preserve"> </w:t>
      </w:r>
    </w:p>
  </w:footnote>
  <w:footnote w:id="2">
    <w:p w:rsidR="00B03BD3" w:rsidRPr="00B03BD3" w:rsidRDefault="00B03BD3" w:rsidP="0063504E">
      <w:pPr>
        <w:pStyle w:val="FootnoteText"/>
        <w:ind w:firstLine="709"/>
        <w:jc w:val="both"/>
        <w:rPr>
          <w:lang w:val="en-US"/>
        </w:rPr>
      </w:pPr>
      <w:r>
        <w:rPr>
          <w:rStyle w:val="FootnoteReference"/>
        </w:rPr>
        <w:footnoteRef/>
      </w:r>
      <w:r>
        <w:t xml:space="preserve"> </w:t>
      </w:r>
      <w:r>
        <w:rPr>
          <w:lang w:val="en-US"/>
        </w:rPr>
        <w:t xml:space="preserve">Jesse Russell &amp; Ronald Coln, </w:t>
      </w:r>
      <w:r>
        <w:rPr>
          <w:i/>
          <w:lang w:val="en-US"/>
        </w:rPr>
        <w:t xml:space="preserve">Mu’tazila </w:t>
      </w:r>
      <w:r>
        <w:rPr>
          <w:lang w:val="en-US"/>
        </w:rPr>
        <w:t xml:space="preserve"> (New York: Book on Demand, 2012)</w:t>
      </w:r>
    </w:p>
  </w:footnote>
  <w:footnote w:id="3">
    <w:p w:rsidR="007D7EA2" w:rsidRPr="007D7EA2" w:rsidRDefault="007D7EA2" w:rsidP="0063504E">
      <w:pPr>
        <w:pStyle w:val="FootnoteText"/>
        <w:ind w:firstLine="709"/>
        <w:jc w:val="both"/>
        <w:rPr>
          <w:lang w:val="en-US"/>
        </w:rPr>
      </w:pPr>
      <w:r>
        <w:rPr>
          <w:rStyle w:val="FootnoteReference"/>
        </w:rPr>
        <w:footnoteRef/>
      </w:r>
      <w:r>
        <w:t xml:space="preserve"> </w:t>
      </w:r>
      <w:r>
        <w:rPr>
          <w:lang w:val="en-US"/>
        </w:rPr>
        <w:t xml:space="preserve">Zuhdi Jarullah, </w:t>
      </w:r>
      <w:r>
        <w:rPr>
          <w:i/>
          <w:lang w:val="en-US"/>
        </w:rPr>
        <w:t xml:space="preserve">al-Mu’tazilah </w:t>
      </w:r>
      <w:r>
        <w:rPr>
          <w:lang w:val="en-US"/>
        </w:rPr>
        <w:t xml:space="preserve">(Beirut: Al-Abliyyah li al-Nasyr wa al-Tawzi’, </w:t>
      </w:r>
      <w:r>
        <w:rPr>
          <w:i/>
          <w:lang w:val="en-US"/>
        </w:rPr>
        <w:t>1974</w:t>
      </w:r>
      <w:r>
        <w:rPr>
          <w:lang w:val="en-US"/>
        </w:rPr>
        <w:t>)</w:t>
      </w:r>
    </w:p>
  </w:footnote>
  <w:footnote w:id="4">
    <w:p w:rsidR="001500DF" w:rsidRPr="007D7EA2" w:rsidRDefault="001500DF" w:rsidP="0063504E">
      <w:pPr>
        <w:pStyle w:val="FootnoteText"/>
        <w:ind w:firstLine="709"/>
        <w:jc w:val="both"/>
        <w:rPr>
          <w:lang w:val="en-US"/>
        </w:rPr>
      </w:pPr>
      <w:r>
        <w:rPr>
          <w:rStyle w:val="FootnoteReference"/>
        </w:rPr>
        <w:footnoteRef/>
      </w:r>
      <w:r>
        <w:t xml:space="preserve"> </w:t>
      </w:r>
      <w:r>
        <w:rPr>
          <w:lang w:val="en-US"/>
        </w:rPr>
        <w:t xml:space="preserve">Machasin, </w:t>
      </w:r>
      <w:r>
        <w:rPr>
          <w:i/>
          <w:lang w:val="en-US"/>
        </w:rPr>
        <w:t xml:space="preserve">Al-Qadi Abdul Jabbar Mutasyavih al-Qur’an, dalih Rasionalitas Al-Qur’an </w:t>
      </w:r>
      <w:r>
        <w:rPr>
          <w:lang w:val="en-US"/>
        </w:rPr>
        <w:t>(Yogyakarta: LkiS, 2000)</w:t>
      </w:r>
    </w:p>
  </w:footnote>
  <w:footnote w:id="5">
    <w:p w:rsidR="001500DF" w:rsidRPr="007D7EA2" w:rsidRDefault="001500DF" w:rsidP="0063504E">
      <w:pPr>
        <w:pStyle w:val="FootnoteText"/>
        <w:ind w:firstLine="709"/>
        <w:jc w:val="both"/>
        <w:rPr>
          <w:lang w:val="en-US"/>
        </w:rPr>
      </w:pPr>
      <w:r>
        <w:rPr>
          <w:rStyle w:val="FootnoteReference"/>
        </w:rPr>
        <w:footnoteRef/>
      </w:r>
      <w:r>
        <w:t xml:space="preserve"> </w:t>
      </w:r>
      <w:r>
        <w:rPr>
          <w:lang w:val="en-US"/>
        </w:rPr>
        <w:t xml:space="preserve">Wardani, </w:t>
      </w:r>
      <w:r>
        <w:rPr>
          <w:i/>
          <w:lang w:val="en-US"/>
        </w:rPr>
        <w:t xml:space="preserve">Epistemologi Kalam Abad Pertengahan, </w:t>
      </w:r>
      <w:r>
        <w:rPr>
          <w:lang w:val="en-US"/>
        </w:rPr>
        <w:t>(Yogyakarta: LkiS, 2002)</w:t>
      </w:r>
    </w:p>
  </w:footnote>
  <w:footnote w:id="6">
    <w:p w:rsidR="001500DF" w:rsidRPr="007D7EA2" w:rsidRDefault="001500DF" w:rsidP="0063504E">
      <w:pPr>
        <w:pStyle w:val="FootnoteText"/>
        <w:ind w:firstLine="709"/>
        <w:jc w:val="both"/>
        <w:rPr>
          <w:lang w:val="en-US"/>
        </w:rPr>
      </w:pPr>
      <w:r>
        <w:rPr>
          <w:rStyle w:val="FootnoteReference"/>
        </w:rPr>
        <w:footnoteRef/>
      </w:r>
      <w:r>
        <w:t xml:space="preserve"> </w:t>
      </w:r>
      <w:r>
        <w:rPr>
          <w:lang w:val="en-US"/>
        </w:rPr>
        <w:t xml:space="preserve">Richard M. Frank, </w:t>
      </w:r>
      <w:r>
        <w:rPr>
          <w:i/>
          <w:lang w:val="en-US"/>
        </w:rPr>
        <w:t xml:space="preserve">Being and Their Attributes: The teaching of Basrian School of the Mu’tazila in the Classical Period </w:t>
      </w:r>
      <w:r>
        <w:rPr>
          <w:lang w:val="en-US"/>
        </w:rPr>
        <w:t>(California: SUNY Press,  1978)</w:t>
      </w:r>
    </w:p>
  </w:footnote>
  <w:footnote w:id="7">
    <w:p w:rsidR="001500DF" w:rsidRPr="001500DF" w:rsidRDefault="001500DF" w:rsidP="0063504E">
      <w:pPr>
        <w:pStyle w:val="FootnoteText"/>
        <w:ind w:firstLine="709"/>
        <w:jc w:val="both"/>
        <w:rPr>
          <w:lang w:val="en-US"/>
        </w:rPr>
      </w:pPr>
      <w:r>
        <w:rPr>
          <w:rStyle w:val="FootnoteReference"/>
        </w:rPr>
        <w:footnoteRef/>
      </w:r>
      <w:r>
        <w:t xml:space="preserve"> </w:t>
      </w:r>
      <w:r>
        <w:rPr>
          <w:lang w:val="en-US"/>
        </w:rPr>
        <w:t xml:space="preserve">Alnoor Danani yang berjudul </w:t>
      </w:r>
      <w:r w:rsidRPr="007D7EA2">
        <w:rPr>
          <w:i/>
          <w:lang w:val="en-US"/>
        </w:rPr>
        <w:t>The Physical Theory of Kalām: Atoms, Space, and Void in Basrian Muʻtazilī Cosmology</w:t>
      </w:r>
      <w:r>
        <w:rPr>
          <w:i/>
          <w:lang w:val="en-US"/>
        </w:rPr>
        <w:t xml:space="preserve"> </w:t>
      </w:r>
      <w:r>
        <w:rPr>
          <w:lang w:val="en-US"/>
        </w:rPr>
        <w:t>(Leiden: Brill, 1994)</w:t>
      </w:r>
    </w:p>
  </w:footnote>
  <w:footnote w:id="8">
    <w:p w:rsidR="001500DF" w:rsidRPr="001500DF" w:rsidRDefault="001500DF" w:rsidP="0063504E">
      <w:pPr>
        <w:pStyle w:val="FootnoteText"/>
        <w:ind w:firstLine="709"/>
        <w:jc w:val="both"/>
        <w:rPr>
          <w:lang w:val="en-US"/>
        </w:rPr>
      </w:pPr>
      <w:r>
        <w:rPr>
          <w:rStyle w:val="FootnoteReference"/>
        </w:rPr>
        <w:footnoteRef/>
      </w:r>
      <w:r>
        <w:t xml:space="preserve"> </w:t>
      </w:r>
      <w:r>
        <w:rPr>
          <w:lang w:val="en-US"/>
        </w:rPr>
        <w:t xml:space="preserve">Nasr Abu Zayd, </w:t>
      </w:r>
      <w:r>
        <w:rPr>
          <w:i/>
          <w:lang w:val="en-US"/>
        </w:rPr>
        <w:t>Menalar Firman Tuhan, Majaz dalam Al-Qur’an Menurut Mu’tazilah</w:t>
      </w:r>
      <w:r>
        <w:rPr>
          <w:lang w:val="en-US"/>
        </w:rPr>
        <w:t xml:space="preserve">  (Bandung: Mizan, 2009)</w:t>
      </w:r>
    </w:p>
  </w:footnote>
  <w:footnote w:id="9">
    <w:p w:rsidR="0063504E" w:rsidRPr="0063504E" w:rsidRDefault="0063504E" w:rsidP="0063504E">
      <w:pPr>
        <w:pStyle w:val="FootnoteText"/>
        <w:ind w:firstLine="709"/>
        <w:jc w:val="both"/>
        <w:rPr>
          <w:lang w:val="en-US"/>
        </w:rPr>
      </w:pPr>
      <w:r>
        <w:rPr>
          <w:rStyle w:val="FootnoteReference"/>
        </w:rPr>
        <w:footnoteRef/>
      </w:r>
      <w:r>
        <w:t xml:space="preserve"> </w:t>
      </w:r>
      <w:r>
        <w:rPr>
          <w:lang w:val="en-US"/>
        </w:rPr>
        <w:t>Lee A. Knelliker, “</w:t>
      </w:r>
      <w:r w:rsidRPr="0063504E">
        <w:rPr>
          <w:lang w:val="en-US"/>
        </w:rPr>
        <w:t>The Mihna: Ma’mun’s Inquisition for Supremacy</w:t>
      </w:r>
      <w:r>
        <w:rPr>
          <w:i/>
          <w:lang w:val="en-US"/>
        </w:rPr>
        <w:t xml:space="preserve">”  </w:t>
      </w:r>
      <w:r>
        <w:rPr>
          <w:lang w:val="en-US"/>
        </w:rPr>
        <w:t xml:space="preserve">dalam </w:t>
      </w:r>
      <w:r>
        <w:rPr>
          <w:i/>
          <w:lang w:val="en-US"/>
        </w:rPr>
        <w:t xml:space="preserve">History Research, </w:t>
      </w:r>
      <w:r>
        <w:rPr>
          <w:lang w:val="en-US"/>
        </w:rPr>
        <w:t>Desember 2011, Vol. 1, hlm. 35-46</w:t>
      </w:r>
    </w:p>
  </w:footnote>
  <w:footnote w:id="10">
    <w:p w:rsidR="00FF5217" w:rsidRPr="007248BC" w:rsidRDefault="00FF5217" w:rsidP="0063504E">
      <w:pPr>
        <w:pStyle w:val="FootnoteText"/>
        <w:ind w:firstLine="709"/>
        <w:jc w:val="both"/>
        <w:rPr>
          <w:lang w:val="en-US"/>
        </w:rPr>
      </w:pPr>
      <w:r>
        <w:rPr>
          <w:rStyle w:val="FootnoteReference"/>
        </w:rPr>
        <w:footnoteRef/>
      </w:r>
      <w:r>
        <w:t xml:space="preserve"> </w:t>
      </w:r>
      <w:r>
        <w:rPr>
          <w:i/>
          <w:lang w:val="en-US"/>
        </w:rPr>
        <w:t xml:space="preserve">Ibid., </w:t>
      </w:r>
      <w:r>
        <w:rPr>
          <w:lang w:val="en-US"/>
        </w:rPr>
        <w:t>hlm. 66</w:t>
      </w:r>
    </w:p>
  </w:footnote>
  <w:footnote w:id="11">
    <w:p w:rsidR="00FF5217" w:rsidRPr="007248BC" w:rsidRDefault="00FF5217" w:rsidP="0063504E">
      <w:pPr>
        <w:pStyle w:val="FootnoteText"/>
        <w:ind w:firstLine="709"/>
        <w:jc w:val="both"/>
        <w:rPr>
          <w:i/>
          <w:lang w:val="en-US"/>
        </w:rPr>
      </w:pPr>
      <w:r>
        <w:rPr>
          <w:rStyle w:val="FootnoteReference"/>
        </w:rPr>
        <w:footnoteRef/>
      </w:r>
      <w:r>
        <w:t xml:space="preserve"> </w:t>
      </w:r>
      <w:r>
        <w:rPr>
          <w:i/>
          <w:lang w:val="en-US"/>
        </w:rPr>
        <w:t>Ibid.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noProof w:val="0"/>
      </w:rPr>
      <w:id w:val="-1282179264"/>
      <w:docPartObj>
        <w:docPartGallery w:val="Page Numbers (Top of Page)"/>
        <w:docPartUnique/>
      </w:docPartObj>
    </w:sdtPr>
    <w:sdtEndPr>
      <w:rPr>
        <w:noProof/>
      </w:rPr>
    </w:sdtEndPr>
    <w:sdtContent>
      <w:p w:rsidR="00A51DC9" w:rsidRDefault="00A51DC9">
        <w:pPr>
          <w:pStyle w:val="Header"/>
          <w:jc w:val="right"/>
        </w:pPr>
        <w:r>
          <w:rPr>
            <w:noProof w:val="0"/>
          </w:rPr>
          <w:fldChar w:fldCharType="begin"/>
        </w:r>
        <w:r>
          <w:instrText xml:space="preserve"> PAGE   \* MERGEFORMAT </w:instrText>
        </w:r>
        <w:r>
          <w:rPr>
            <w:noProof w:val="0"/>
          </w:rPr>
          <w:fldChar w:fldCharType="separate"/>
        </w:r>
        <w:r w:rsidR="006C4371">
          <w:t>11</w:t>
        </w:r>
        <w:r>
          <w:fldChar w:fldCharType="end"/>
        </w:r>
      </w:p>
    </w:sdtContent>
  </w:sdt>
  <w:p w:rsidR="00A51DC9" w:rsidRDefault="00A51DC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760791"/>
    <w:multiLevelType w:val="hybridMultilevel"/>
    <w:tmpl w:val="38AA2B10"/>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F256CE2"/>
    <w:multiLevelType w:val="hybridMultilevel"/>
    <w:tmpl w:val="145EA4B6"/>
    <w:lvl w:ilvl="0" w:tplc="80F0FB2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
    <w:nsid w:val="3930269C"/>
    <w:multiLevelType w:val="hybridMultilevel"/>
    <w:tmpl w:val="EA7C353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64FB32B3"/>
    <w:multiLevelType w:val="hybridMultilevel"/>
    <w:tmpl w:val="F1723E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54"/>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65F"/>
    <w:rsid w:val="0001018E"/>
    <w:rsid w:val="0001662A"/>
    <w:rsid w:val="00031D03"/>
    <w:rsid w:val="0006063E"/>
    <w:rsid w:val="00060DD9"/>
    <w:rsid w:val="000F01A0"/>
    <w:rsid w:val="001500DF"/>
    <w:rsid w:val="00163127"/>
    <w:rsid w:val="0021584C"/>
    <w:rsid w:val="002C065F"/>
    <w:rsid w:val="002E12BC"/>
    <w:rsid w:val="0030061B"/>
    <w:rsid w:val="003F47A1"/>
    <w:rsid w:val="00460C7F"/>
    <w:rsid w:val="0063504E"/>
    <w:rsid w:val="006C2C63"/>
    <w:rsid w:val="006C4371"/>
    <w:rsid w:val="007248BC"/>
    <w:rsid w:val="00767ABC"/>
    <w:rsid w:val="00771D97"/>
    <w:rsid w:val="007869D5"/>
    <w:rsid w:val="007D7EA2"/>
    <w:rsid w:val="00962FC9"/>
    <w:rsid w:val="00A00B6D"/>
    <w:rsid w:val="00A51DC9"/>
    <w:rsid w:val="00B03BD3"/>
    <w:rsid w:val="00B03D34"/>
    <w:rsid w:val="00BE2E53"/>
    <w:rsid w:val="00D3027E"/>
    <w:rsid w:val="00D55A50"/>
    <w:rsid w:val="00D6403C"/>
    <w:rsid w:val="00DE584A"/>
    <w:rsid w:val="00DF736E"/>
    <w:rsid w:val="00F31CB9"/>
    <w:rsid w:val="00FF52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D39A41-0EFB-4D56-AAF7-06789A0DC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065F"/>
    <w:pPr>
      <w:spacing w:after="0" w:line="240" w:lineRule="auto"/>
    </w:pPr>
    <w:rPr>
      <w:rFonts w:ascii="Times New Roman" w:eastAsia="Times New Roman" w:hAnsi="Times New Roman" w:cs="Times New Roman"/>
      <w:noProof/>
      <w:sz w:val="24"/>
      <w:szCs w:val="24"/>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2C065F"/>
    <w:rPr>
      <w:noProof w:val="0"/>
      <w:sz w:val="20"/>
      <w:szCs w:val="20"/>
      <w:lang w:eastAsia="id-ID"/>
    </w:rPr>
  </w:style>
  <w:style w:type="character" w:customStyle="1" w:styleId="FootnoteTextChar">
    <w:name w:val="Footnote Text Char"/>
    <w:basedOn w:val="DefaultParagraphFont"/>
    <w:link w:val="FootnoteText"/>
    <w:semiHidden/>
    <w:rsid w:val="002C065F"/>
    <w:rPr>
      <w:rFonts w:ascii="Times New Roman" w:eastAsia="Times New Roman" w:hAnsi="Times New Roman" w:cs="Times New Roman"/>
      <w:sz w:val="20"/>
      <w:szCs w:val="20"/>
      <w:lang w:val="id-ID" w:eastAsia="id-ID"/>
    </w:rPr>
  </w:style>
  <w:style w:type="character" w:styleId="FootnoteReference">
    <w:name w:val="footnote reference"/>
    <w:basedOn w:val="DefaultParagraphFont"/>
    <w:semiHidden/>
    <w:rsid w:val="002C065F"/>
    <w:rPr>
      <w:vertAlign w:val="superscript"/>
    </w:rPr>
  </w:style>
  <w:style w:type="paragraph" w:styleId="NormalWeb">
    <w:name w:val="Normal (Web)"/>
    <w:basedOn w:val="Normal"/>
    <w:uiPriority w:val="99"/>
    <w:unhideWhenUsed/>
    <w:rsid w:val="00767ABC"/>
    <w:pPr>
      <w:spacing w:before="100" w:beforeAutospacing="1" w:after="100" w:afterAutospacing="1"/>
    </w:pPr>
    <w:rPr>
      <w:noProof w:val="0"/>
      <w:lang w:val="en-US"/>
    </w:rPr>
  </w:style>
  <w:style w:type="character" w:styleId="Hyperlink">
    <w:name w:val="Hyperlink"/>
    <w:basedOn w:val="DefaultParagraphFont"/>
    <w:uiPriority w:val="99"/>
    <w:semiHidden/>
    <w:unhideWhenUsed/>
    <w:rsid w:val="00767ABC"/>
    <w:rPr>
      <w:color w:val="0000FF"/>
      <w:u w:val="single"/>
    </w:rPr>
  </w:style>
  <w:style w:type="paragraph" w:styleId="ListParagraph">
    <w:name w:val="List Paragraph"/>
    <w:basedOn w:val="Normal"/>
    <w:uiPriority w:val="34"/>
    <w:qFormat/>
    <w:rsid w:val="00767ABC"/>
    <w:pPr>
      <w:ind w:left="720"/>
      <w:contextualSpacing/>
    </w:pPr>
  </w:style>
  <w:style w:type="paragraph" w:styleId="Header">
    <w:name w:val="header"/>
    <w:basedOn w:val="Normal"/>
    <w:link w:val="HeaderChar"/>
    <w:uiPriority w:val="99"/>
    <w:unhideWhenUsed/>
    <w:rsid w:val="00771D97"/>
    <w:pPr>
      <w:tabs>
        <w:tab w:val="center" w:pos="4680"/>
        <w:tab w:val="right" w:pos="9360"/>
      </w:tabs>
    </w:pPr>
  </w:style>
  <w:style w:type="character" w:customStyle="1" w:styleId="HeaderChar">
    <w:name w:val="Header Char"/>
    <w:basedOn w:val="DefaultParagraphFont"/>
    <w:link w:val="Header"/>
    <w:uiPriority w:val="99"/>
    <w:rsid w:val="00771D97"/>
    <w:rPr>
      <w:rFonts w:ascii="Times New Roman" w:eastAsia="Times New Roman" w:hAnsi="Times New Roman" w:cs="Times New Roman"/>
      <w:noProof/>
      <w:sz w:val="24"/>
      <w:szCs w:val="24"/>
      <w:lang w:val="id-ID"/>
    </w:rPr>
  </w:style>
  <w:style w:type="paragraph" w:styleId="Footer">
    <w:name w:val="footer"/>
    <w:basedOn w:val="Normal"/>
    <w:link w:val="FooterChar"/>
    <w:uiPriority w:val="99"/>
    <w:unhideWhenUsed/>
    <w:rsid w:val="00771D97"/>
    <w:pPr>
      <w:tabs>
        <w:tab w:val="center" w:pos="4680"/>
        <w:tab w:val="right" w:pos="9360"/>
      </w:tabs>
    </w:pPr>
  </w:style>
  <w:style w:type="character" w:customStyle="1" w:styleId="FooterChar">
    <w:name w:val="Footer Char"/>
    <w:basedOn w:val="DefaultParagraphFont"/>
    <w:link w:val="Footer"/>
    <w:uiPriority w:val="99"/>
    <w:rsid w:val="00771D97"/>
    <w:rPr>
      <w:rFonts w:ascii="Times New Roman" w:eastAsia="Times New Roman" w:hAnsi="Times New Roman" w:cs="Times New Roman"/>
      <w:noProof/>
      <w:sz w:val="24"/>
      <w:szCs w:val="24"/>
      <w:lang w:val="id-ID"/>
    </w:rPr>
  </w:style>
  <w:style w:type="paragraph" w:styleId="BalloonText">
    <w:name w:val="Balloon Text"/>
    <w:basedOn w:val="Normal"/>
    <w:link w:val="BalloonTextChar"/>
    <w:uiPriority w:val="99"/>
    <w:semiHidden/>
    <w:unhideWhenUsed/>
    <w:rsid w:val="00060DD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0DD9"/>
    <w:rPr>
      <w:rFonts w:ascii="Segoe UI" w:eastAsia="Times New Roman" w:hAnsi="Segoe UI" w:cs="Segoe UI"/>
      <w:noProof/>
      <w:sz w:val="18"/>
      <w:szCs w:val="18"/>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244195">
      <w:bodyDiv w:val="1"/>
      <w:marLeft w:val="0"/>
      <w:marRight w:val="0"/>
      <w:marTop w:val="0"/>
      <w:marBottom w:val="0"/>
      <w:divBdr>
        <w:top w:val="none" w:sz="0" w:space="0" w:color="auto"/>
        <w:left w:val="none" w:sz="0" w:space="0" w:color="auto"/>
        <w:bottom w:val="none" w:sz="0" w:space="0" w:color="auto"/>
        <w:right w:val="none" w:sz="0" w:space="0" w:color="auto"/>
      </w:divBdr>
    </w:div>
    <w:div w:id="145319834">
      <w:bodyDiv w:val="1"/>
      <w:marLeft w:val="0"/>
      <w:marRight w:val="0"/>
      <w:marTop w:val="0"/>
      <w:marBottom w:val="0"/>
      <w:divBdr>
        <w:top w:val="none" w:sz="0" w:space="0" w:color="auto"/>
        <w:left w:val="none" w:sz="0" w:space="0" w:color="auto"/>
        <w:bottom w:val="none" w:sz="0" w:space="0" w:color="auto"/>
        <w:right w:val="none" w:sz="0" w:space="0" w:color="auto"/>
      </w:divBdr>
    </w:div>
    <w:div w:id="667706585">
      <w:bodyDiv w:val="1"/>
      <w:marLeft w:val="0"/>
      <w:marRight w:val="0"/>
      <w:marTop w:val="0"/>
      <w:marBottom w:val="0"/>
      <w:divBdr>
        <w:top w:val="none" w:sz="0" w:space="0" w:color="auto"/>
        <w:left w:val="none" w:sz="0" w:space="0" w:color="auto"/>
        <w:bottom w:val="none" w:sz="0" w:space="0" w:color="auto"/>
        <w:right w:val="none" w:sz="0" w:space="0" w:color="auto"/>
      </w:divBdr>
    </w:div>
    <w:div w:id="1215577290">
      <w:bodyDiv w:val="1"/>
      <w:marLeft w:val="0"/>
      <w:marRight w:val="0"/>
      <w:marTop w:val="0"/>
      <w:marBottom w:val="0"/>
      <w:divBdr>
        <w:top w:val="none" w:sz="0" w:space="0" w:color="auto"/>
        <w:left w:val="none" w:sz="0" w:space="0" w:color="auto"/>
        <w:bottom w:val="none" w:sz="0" w:space="0" w:color="auto"/>
        <w:right w:val="none" w:sz="0" w:space="0" w:color="auto"/>
      </w:divBdr>
    </w:div>
    <w:div w:id="1595242800">
      <w:bodyDiv w:val="1"/>
      <w:marLeft w:val="0"/>
      <w:marRight w:val="0"/>
      <w:marTop w:val="0"/>
      <w:marBottom w:val="0"/>
      <w:divBdr>
        <w:top w:val="none" w:sz="0" w:space="0" w:color="auto"/>
        <w:left w:val="none" w:sz="0" w:space="0" w:color="auto"/>
        <w:bottom w:val="none" w:sz="0" w:space="0" w:color="auto"/>
        <w:right w:val="none" w:sz="0" w:space="0" w:color="auto"/>
      </w:divBdr>
    </w:div>
    <w:div w:id="1605529091">
      <w:bodyDiv w:val="1"/>
      <w:marLeft w:val="0"/>
      <w:marRight w:val="0"/>
      <w:marTop w:val="0"/>
      <w:marBottom w:val="0"/>
      <w:divBdr>
        <w:top w:val="none" w:sz="0" w:space="0" w:color="auto"/>
        <w:left w:val="none" w:sz="0" w:space="0" w:color="auto"/>
        <w:bottom w:val="none" w:sz="0" w:space="0" w:color="auto"/>
        <w:right w:val="none" w:sz="0" w:space="0" w:color="auto"/>
      </w:divBdr>
    </w:div>
    <w:div w:id="1991135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11</Pages>
  <Words>2261</Words>
  <Characters>12893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Fahruddinf</dc:creator>
  <cp:lastModifiedBy>hp</cp:lastModifiedBy>
  <cp:revision>9</cp:revision>
  <cp:lastPrinted>2013-11-27T10:33:00Z</cp:lastPrinted>
  <dcterms:created xsi:type="dcterms:W3CDTF">2013-11-13T02:35:00Z</dcterms:created>
  <dcterms:modified xsi:type="dcterms:W3CDTF">2013-11-27T10:47:00Z</dcterms:modified>
</cp:coreProperties>
</file>